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bottom w:val="single" w:sz="12" w:space="1" w:color="8B6914"/>
        </w:pBdr>
        <w:spacing w:before="40" w:after="40"/>
      </w:pPr>
    </w:p>
    <w:p>
      <w:pPr>
        <w:jc w:val="center"/>
      </w:pPr>
      <w:r>
        <w:rPr>
          <w:rFonts w:ascii="Calibri" w:hAnsi="Calibri"/>
          <w:color w:val="5A6370"/>
          <w:sz w:val="26"/>
        </w:rPr>
        <w:t>CENTRO DE ESTUDIOS REGIONALES DE PANAMÁ — CERPA</w:t>
      </w:r>
    </w:p>
    <w:p>
      <w:pPr>
        <w:jc w:val="center"/>
      </w:pPr>
      <w:r>
        <w:rPr>
          <w:rFonts w:ascii="Calibri" w:hAnsi="Calibri"/>
          <w:color w:val="5A6370"/>
          <w:sz w:val="20"/>
        </w:rPr>
        <w:t>web.cerpa.edu.pa  ·  349-5420  ·  775-0951  ·  info@cerpa.edu.pa</w:t>
      </w:r>
    </w:p>
    <w:p/>
    <w:p>
      <w:pPr>
        <w:keepNext/>
        <w:spacing w:before="200" w:after="120"/>
        <w:jc w:val="center"/>
      </w:pPr>
      <w:r>
        <w:rPr>
          <w:rFonts w:ascii="Calibri" w:hAnsi="Calibri"/>
          <w:b/>
          <w:color w:val="8B6914"/>
          <w:sz w:val="28"/>
        </w:rPr>
        <w:t>FICHA TÉCNICA DEL DIPLOMADO</w:t>
      </w:r>
    </w:p>
    <w:p/>
    <w:p>
      <w:pPr>
        <w:spacing w:before="200" w:after="200"/>
        <w:jc w:val="center"/>
      </w:pPr>
      <w:r>
        <w:rPr>
          <w:rFonts w:ascii="Calibri" w:hAnsi="Calibri"/>
          <w:b/>
          <w:color w:val="12265B"/>
          <w:sz w:val="44"/>
        </w:rPr>
        <w:t>Diplomado en Recuperación de Aprendizajes</w:t>
        <w:br/>
        <w:t>y Competencias Fundamentales en Premedia</w:t>
      </w:r>
    </w:p>
    <w:p/>
    <w:tbl>
      <w:tblPr>
        <w:tblStyle w:val="TableGrid"/>
        <w:tblW w:type="auto" w:w="0"/>
        <w:jc w:val="center"/>
        <w:tblLook w:firstColumn="1" w:firstRow="1" w:lastColumn="0" w:lastRow="0" w:noHBand="0" w:noVBand="1" w:val="04A0"/>
      </w:tblPr>
      <w:tblGrid>
        <w:gridCol w:w="4703"/>
        <w:gridCol w:w="4703"/>
      </w:tblGrid>
      <w:tr>
        <w:tc>
          <w:tcPr>
            <w:tcW w:type="dxa" w:w="2835"/>
            <w:shd w:val="clear" w:color="auto" w:fill="8B6914"/>
          </w:tcPr>
          <w:p>
            <w:pPr>
              <w:spacing w:before="60" w:after="60"/>
            </w:pPr>
            <w:r>
              <w:rPr>
                <w:rFonts w:ascii="Calibri" w:hAnsi="Calibri"/>
                <w:b/>
                <w:color w:val="FFFFFF"/>
                <w:sz w:val="19"/>
              </w:rPr>
              <w:t>Sigla / Canvas ID:</w:t>
            </w:r>
          </w:p>
        </w:tc>
        <w:tc>
          <w:tcPr>
            <w:tcW w:type="dxa" w:w="6520"/>
          </w:tcPr>
          <w:p>
            <w:pPr>
              <w:spacing w:before="60" w:after="60"/>
            </w:pPr>
            <w:r>
              <w:rPr>
                <w:rFonts w:ascii="Calibri" w:hAnsi="Calibri"/>
                <w:sz w:val="19"/>
              </w:rPr>
              <w:t>RAPCF-PME  ·  Canvas ID: 3003</w:t>
            </w:r>
          </w:p>
        </w:tc>
      </w:tr>
      <w:tr>
        <w:tc>
          <w:tcPr>
            <w:tcW w:type="dxa" w:w="2835"/>
            <w:shd w:val="clear" w:color="auto" w:fill="8B6914"/>
          </w:tcPr>
          <w:p>
            <w:pPr>
              <w:spacing w:before="60" w:after="60"/>
            </w:pPr>
            <w:r>
              <w:rPr>
                <w:rFonts w:ascii="Calibri" w:hAnsi="Calibri"/>
                <w:b/>
                <w:color w:val="FFFFFF"/>
                <w:sz w:val="19"/>
              </w:rPr>
              <w:t>Titulación:</w:t>
            </w:r>
          </w:p>
        </w:tc>
        <w:tc>
          <w:tcPr>
            <w:tcW w:type="dxa" w:w="6520"/>
          </w:tcPr>
          <w:p>
            <w:pPr>
              <w:spacing w:before="60" w:after="60"/>
            </w:pPr>
            <w:r>
              <w:rPr>
                <w:rFonts w:ascii="Calibri" w:hAnsi="Calibri"/>
                <w:sz w:val="19"/>
              </w:rPr>
              <w:t>Diplomado en Recuperación de Aprendizajes y Competencias Fundamentales en Premedia</w:t>
            </w:r>
          </w:p>
        </w:tc>
      </w:tr>
      <w:tr>
        <w:tc>
          <w:tcPr>
            <w:tcW w:type="dxa" w:w="2835"/>
            <w:shd w:val="clear" w:color="auto" w:fill="8B6914"/>
          </w:tcPr>
          <w:p>
            <w:pPr>
              <w:spacing w:before="60" w:after="60"/>
            </w:pPr>
            <w:r>
              <w:rPr>
                <w:rFonts w:ascii="Calibri" w:hAnsi="Calibri"/>
                <w:b/>
                <w:color w:val="FFFFFF"/>
                <w:sz w:val="19"/>
              </w:rPr>
              <w:t>Duración:</w:t>
            </w:r>
          </w:p>
        </w:tc>
        <w:tc>
          <w:tcPr>
            <w:tcW w:type="dxa" w:w="6520"/>
          </w:tcPr>
          <w:p>
            <w:pPr>
              <w:spacing w:before="60" w:after="60"/>
            </w:pPr>
            <w:r>
              <w:rPr>
                <w:rFonts w:ascii="Calibri" w:hAnsi="Calibri"/>
                <w:sz w:val="19"/>
              </w:rPr>
              <w:t>2 meses  ·  210 horas académicas virtuales</w:t>
            </w:r>
          </w:p>
        </w:tc>
      </w:tr>
      <w:tr>
        <w:tc>
          <w:tcPr>
            <w:tcW w:type="dxa" w:w="2835"/>
            <w:shd w:val="clear" w:color="auto" w:fill="8B6914"/>
          </w:tcPr>
          <w:p>
            <w:pPr>
              <w:spacing w:before="60" w:after="60"/>
            </w:pPr>
            <w:r>
              <w:rPr>
                <w:rFonts w:ascii="Calibri" w:hAnsi="Calibri"/>
                <w:b/>
                <w:color w:val="FFFFFF"/>
                <w:sz w:val="19"/>
              </w:rPr>
              <w:t>Modalidad:</w:t>
            </w:r>
          </w:p>
        </w:tc>
        <w:tc>
          <w:tcPr>
            <w:tcW w:type="dxa" w:w="6520"/>
          </w:tcPr>
          <w:p>
            <w:pPr>
              <w:spacing w:before="60" w:after="60"/>
            </w:pPr>
            <w:r>
              <w:rPr>
                <w:rFonts w:ascii="Calibri" w:hAnsi="Calibri"/>
                <w:sz w:val="19"/>
              </w:rPr>
              <w:t>Virtual — Asincrónica</w:t>
            </w:r>
          </w:p>
        </w:tc>
      </w:tr>
      <w:tr>
        <w:tc>
          <w:tcPr>
            <w:tcW w:type="dxa" w:w="2835"/>
            <w:shd w:val="clear" w:color="auto" w:fill="8B6914"/>
          </w:tcPr>
          <w:p>
            <w:pPr>
              <w:spacing w:before="60" w:after="60"/>
            </w:pPr>
            <w:r>
              <w:rPr>
                <w:rFonts w:ascii="Calibri" w:hAnsi="Calibri"/>
                <w:b/>
                <w:color w:val="FFFFFF"/>
                <w:sz w:val="19"/>
              </w:rPr>
              <w:t>Gestor de Aprendizaje:</w:t>
            </w:r>
          </w:p>
        </w:tc>
        <w:tc>
          <w:tcPr>
            <w:tcW w:type="dxa" w:w="6520"/>
          </w:tcPr>
          <w:p>
            <w:pPr>
              <w:spacing w:before="60" w:after="60"/>
            </w:pPr>
            <w:r>
              <w:rPr>
                <w:rFonts w:ascii="Calibri" w:hAnsi="Calibri"/>
                <w:sz w:val="19"/>
              </w:rPr>
              <w:t>Canvas Student</w:t>
            </w:r>
          </w:p>
        </w:tc>
      </w:tr>
      <w:tr>
        <w:tc>
          <w:tcPr>
            <w:tcW w:type="dxa" w:w="2835"/>
            <w:shd w:val="clear" w:color="auto" w:fill="8B6914"/>
          </w:tcPr>
          <w:p>
            <w:pPr>
              <w:spacing w:before="60" w:after="60"/>
            </w:pPr>
            <w:r>
              <w:rPr>
                <w:rFonts w:ascii="Calibri" w:hAnsi="Calibri"/>
                <w:b/>
                <w:color w:val="FFFFFF"/>
                <w:sz w:val="19"/>
              </w:rPr>
              <w:t>Estructura modular:</w:t>
            </w:r>
          </w:p>
        </w:tc>
        <w:tc>
          <w:tcPr>
            <w:tcW w:type="dxa" w:w="6520"/>
          </w:tcPr>
          <w:p>
            <w:pPr>
              <w:spacing w:before="60" w:after="60"/>
            </w:pPr>
            <w:r>
              <w:rPr>
                <w:rFonts w:ascii="Calibri" w:hAnsi="Calibri"/>
                <w:sz w:val="19"/>
              </w:rPr>
              <w:t>8 módulos  ·  10 unidades por módulo  ·  80 unidades en total</w:t>
            </w:r>
          </w:p>
        </w:tc>
      </w:tr>
      <w:tr>
        <w:tc>
          <w:tcPr>
            <w:tcW w:type="dxa" w:w="2835"/>
            <w:shd w:val="clear" w:color="auto" w:fill="8B6914"/>
          </w:tcPr>
          <w:p>
            <w:pPr>
              <w:spacing w:before="60" w:after="60"/>
            </w:pPr>
            <w:r>
              <w:rPr>
                <w:rFonts w:ascii="Calibri" w:hAnsi="Calibri"/>
                <w:b/>
                <w:color w:val="FFFFFF"/>
                <w:sz w:val="19"/>
              </w:rPr>
              <w:t>Módulos compartidos (M1-M4):</w:t>
            </w:r>
          </w:p>
        </w:tc>
        <w:tc>
          <w:tcPr>
            <w:tcW w:type="dxa" w:w="6520"/>
          </w:tcPr>
          <w:p>
            <w:pPr>
              <w:spacing w:before="60" w:after="60"/>
            </w:pPr>
            <w:r>
              <w:rPr>
                <w:rFonts w:ascii="Calibri" w:hAnsi="Calibri"/>
                <w:sz w:val="19"/>
              </w:rPr>
              <w:t>Comunes a Preescolar, Primaria, Premedia y Media</w:t>
            </w:r>
          </w:p>
        </w:tc>
      </w:tr>
      <w:tr>
        <w:tc>
          <w:tcPr>
            <w:tcW w:type="dxa" w:w="2835"/>
            <w:shd w:val="clear" w:color="auto" w:fill="8B6914"/>
          </w:tcPr>
          <w:p>
            <w:pPr>
              <w:spacing w:before="60" w:after="60"/>
            </w:pPr>
            <w:r>
              <w:rPr>
                <w:rFonts w:ascii="Calibri" w:hAnsi="Calibri"/>
                <w:b/>
                <w:color w:val="FFFFFF"/>
                <w:sz w:val="19"/>
              </w:rPr>
              <w:t>Módulos específicos (M5-M8):</w:t>
            </w:r>
          </w:p>
        </w:tc>
        <w:tc>
          <w:tcPr>
            <w:tcW w:type="dxa" w:w="6520"/>
          </w:tcPr>
          <w:p>
            <w:pPr>
              <w:spacing w:before="60" w:after="60"/>
            </w:pPr>
            <w:r>
              <w:rPr>
                <w:rFonts w:ascii="Calibri" w:hAnsi="Calibri"/>
                <w:sz w:val="19"/>
              </w:rPr>
              <w:t>Diferenciados para el nivel de Premedia</w:t>
            </w:r>
          </w:p>
        </w:tc>
      </w:tr>
      <w:tr>
        <w:tc>
          <w:tcPr>
            <w:tcW w:type="dxa" w:w="2835"/>
            <w:shd w:val="clear" w:color="auto" w:fill="8B6914"/>
          </w:tcPr>
          <w:p>
            <w:pPr>
              <w:spacing w:before="60" w:after="60"/>
            </w:pPr>
            <w:r>
              <w:rPr>
                <w:rFonts w:ascii="Calibri" w:hAnsi="Calibri"/>
                <w:b/>
                <w:color w:val="FFFFFF"/>
                <w:sz w:val="19"/>
              </w:rPr>
              <w:t>Nivel educativo destino:</w:t>
            </w:r>
          </w:p>
        </w:tc>
        <w:tc>
          <w:tcPr>
            <w:tcW w:type="dxa" w:w="6520"/>
          </w:tcPr>
          <w:p>
            <w:pPr>
              <w:spacing w:before="60" w:after="60"/>
            </w:pPr>
            <w:r>
              <w:rPr>
                <w:rFonts w:ascii="Calibri" w:hAnsi="Calibri"/>
                <w:sz w:val="19"/>
              </w:rPr>
              <w:t>Premedia (12 a 15 años)</w:t>
            </w:r>
          </w:p>
        </w:tc>
      </w:tr>
      <w:tr>
        <w:tc>
          <w:tcPr>
            <w:tcW w:type="dxa" w:w="2835"/>
            <w:shd w:val="clear" w:color="auto" w:fill="8B6914"/>
          </w:tcPr>
          <w:p>
            <w:pPr>
              <w:spacing w:before="60" w:after="60"/>
            </w:pPr>
            <w:r>
              <w:rPr>
                <w:rFonts w:ascii="Calibri" w:hAnsi="Calibri"/>
                <w:b/>
                <w:color w:val="FFFFFF"/>
                <w:sz w:val="19"/>
              </w:rPr>
              <w:t>Rector:</w:t>
            </w:r>
          </w:p>
        </w:tc>
        <w:tc>
          <w:tcPr>
            <w:tcW w:type="dxa" w:w="6520"/>
          </w:tcPr>
          <w:p>
            <w:pPr>
              <w:spacing w:before="60" w:after="60"/>
            </w:pPr>
            <w:r>
              <w:rPr>
                <w:rFonts w:ascii="Calibri" w:hAnsi="Calibri"/>
                <w:sz w:val="19"/>
              </w:rPr>
              <w:t>Manuel Amador Salvatierra Tello</w:t>
            </w:r>
          </w:p>
        </w:tc>
      </w:tr>
      <w:tr>
        <w:tc>
          <w:tcPr>
            <w:tcW w:type="dxa" w:w="2835"/>
            <w:shd w:val="clear" w:color="auto" w:fill="8B6914"/>
          </w:tcPr>
          <w:p>
            <w:pPr>
              <w:spacing w:before="60" w:after="60"/>
            </w:pPr>
            <w:r>
              <w:rPr>
                <w:rFonts w:ascii="Calibri" w:hAnsi="Calibri"/>
                <w:b/>
                <w:color w:val="FFFFFF"/>
                <w:sz w:val="19"/>
              </w:rPr>
              <w:t>Año académico:</w:t>
            </w:r>
          </w:p>
        </w:tc>
        <w:tc>
          <w:tcPr>
            <w:tcW w:type="dxa" w:w="6520"/>
          </w:tcPr>
          <w:p>
            <w:pPr>
              <w:spacing w:before="60" w:after="60"/>
            </w:pPr>
            <w:r>
              <w:rPr>
                <w:rFonts w:ascii="Calibri" w:hAnsi="Calibri"/>
                <w:sz w:val="19"/>
              </w:rPr>
              <w:t>2025 – 2026</w:t>
            </w:r>
          </w:p>
        </w:tc>
      </w:tr>
    </w:tbl>
    <w:p/>
    <w:p>
      <w:r>
        <w:br w:type="page"/>
      </w:r>
    </w:p>
    <w:p>
      <w:pPr>
        <w:keepNext/>
        <w:spacing w:before="280" w:after="160"/>
        <w:jc w:val="left"/>
      </w:pPr>
      <w:r>
        <w:rPr>
          <w:rFonts w:ascii="Calibri" w:hAnsi="Calibri"/>
          <w:b/>
          <w:color w:val="8B6914"/>
          <w:sz w:val="36"/>
        </w:rPr>
        <w:t>I. DIAGNÓSTICO DEL SISTEMA EDUCATIVO PANAMEÑO</w:t>
      </w:r>
    </w:p>
    <w:p>
      <w:pPr>
        <w:keepNext/>
        <w:spacing w:before="160" w:after="120"/>
        <w:jc w:val="left"/>
      </w:pPr>
      <w:r>
        <w:rPr>
          <w:rFonts w:ascii="Calibri" w:hAnsi="Calibri"/>
          <w:b/>
          <w:color w:val="12265B"/>
          <w:sz w:val="28"/>
        </w:rPr>
        <w:t>Recuperación de Aprendizajes en Panamá (2020-2026): Contexto, Estadísticas y Marco Normativo</w:t>
      </w:r>
    </w:p>
    <w:p>
      <w:pPr>
        <w:pBdr>
          <w:bottom w:val="single" w:sz="6" w:space="1" w:color="8B6914"/>
        </w:pBdr>
        <w:spacing w:before="40" w:after="40"/>
      </w:pPr>
    </w:p>
    <w:p>
      <w:pPr>
        <w:spacing w:before="60" w:after="80" w:line="360" w:lineRule="auto"/>
        <w:jc w:val="both"/>
      </w:pPr>
      <w:r>
        <w:rPr>
          <w:rFonts w:ascii="Calibri" w:hAnsi="Calibri"/>
          <w:b w:val="0"/>
          <w:i w:val="0"/>
          <w:sz w:val="21"/>
        </w:rPr>
        <w:t>La pandemia de COVID-19 generó una de las crisis educativas más profundas que ha enfrentado la República de Panamá, con aproximadamente 18 meses de suspensión de clases presenciales entre marzo de 2020 y agosto de 2021 (MEDUCA, 2022). Este período generó brechas profundas en las competencias fundamentales de los alumnos en todos los niveles educativos. La magnitud del retroceso exige una respuesta pedagógica sistémica, sostenida y fundamentada en evidencia científica, capaz de restituir los derechos educativos de la niñez y la juventud panameña.</w:t>
      </w:r>
    </w:p>
    <w:p>
      <w:pPr>
        <w:spacing w:before="60" w:after="80" w:line="360" w:lineRule="auto"/>
        <w:jc w:val="both"/>
      </w:pPr>
      <w:r>
        <w:rPr>
          <w:rFonts w:ascii="Calibri" w:hAnsi="Calibri"/>
          <w:b w:val="0"/>
          <w:i w:val="0"/>
          <w:sz w:val="21"/>
        </w:rPr>
        <w:t>El Estudio Regional Comparativo y Explicativo ERCE 2019 (UNESCO-OREALC, 2021) reveló que el 44% de los estudiantes panameños de tercer grado no alcanzaba el nivel mínimo de competencia en Lectura y el 51% no lo alcanzaba en Matemáticas. Estas cifras, ya preocupantes antes de la pandemia, se agravaron notoriamente durante y después de los cierres escolares, configurando un escenario de emergencia educativa que demanda intervención prioritaria con recursos diferenciados según el nivel y las necesidades de los estudiantes.</w:t>
      </w:r>
    </w:p>
    <w:p>
      <w:pPr>
        <w:spacing w:before="60" w:after="80" w:line="360" w:lineRule="auto"/>
        <w:jc w:val="both"/>
      </w:pPr>
      <w:r>
        <w:rPr>
          <w:rFonts w:ascii="Calibri" w:hAnsi="Calibri"/>
          <w:b w:val="0"/>
          <w:i w:val="0"/>
          <w:sz w:val="21"/>
        </w:rPr>
        <w:t>La deserción escolar aumentó en un 18.3% durante el ciclo 2020-2021 en comparación con el promedio de los cinco años anteriores (MEDUCA-UNICEF, 2022). En premedia, la tasa de abandono alcanzó el 22.7%; en educación media, el 25.1%. En preescolar, el indicador de matrícula tardía aumentó en un 31%, con miles de niños y niñas de 4 a 6 años que no fueron inscritos en el sistema educativo formal, generando rezago temprano en competencias socioemocionales y cognitivas que son la base de todo el aprendizaje posterior.</w:t>
      </w:r>
    </w:p>
    <w:p>
      <w:pPr>
        <w:spacing w:before="60" w:after="80" w:line="360" w:lineRule="auto"/>
        <w:jc w:val="both"/>
      </w:pPr>
      <w:r>
        <w:rPr>
          <w:rFonts w:ascii="Calibri" w:hAnsi="Calibri"/>
          <w:b w:val="0"/>
          <w:i w:val="0"/>
          <w:sz w:val="21"/>
        </w:rPr>
        <w:t>El Plan de Recuperación de Aprendizajes 2022-2026 (Resolución Ministerial No. 1234 de 2022, actualizado con la Resolución 897 de 2024) estableció metas nacionales: reducir en un 40% el porcentaje de estudiantes sin nivel mínimo en Español y Matemáticas para 2026; implementar nivelación en el 100% de los centros oficiales; y fortalecer las capacidades de al menos 12,000 docentes en estrategias de recuperación y evaluación formativa. Al cierre de 2024, el 67% de los centros había implementado al menos un programa de nivelación.</w:t>
      </w:r>
    </w:p>
    <w:p>
      <w:pPr>
        <w:spacing w:before="60" w:after="80" w:line="360" w:lineRule="auto"/>
        <w:jc w:val="both"/>
      </w:pPr>
      <w:r>
        <w:rPr>
          <w:rFonts w:ascii="Calibri" w:hAnsi="Calibri"/>
          <w:b w:val="0"/>
          <w:i w:val="0"/>
          <w:sz w:val="21"/>
        </w:rPr>
        <w:t>La Contraloría General (Informe de Auditoría Educativa 2023) señaló que las brechas presentan distribución geográfica inequitativa: los estudiantes de Darién y las comarcas indígenas Ngäbe-Buglé, Guna Yala y Emberá-Wounaan presentan tasas de no-dominio superiores al 70% en competencias básicas. Esta realidad exige que cualquier programa de recuperación adopte enfoques interculturales y diferenciados que garanticen la pertinencia de las intervenciones en cada contexto cultural y lingüístico.</w:t>
      </w:r>
    </w:p>
    <w:p>
      <w:pPr>
        <w:spacing w:before="60" w:after="80" w:line="360" w:lineRule="auto"/>
        <w:jc w:val="both"/>
      </w:pPr>
      <w:r>
        <w:rPr>
          <w:rFonts w:ascii="Calibri" w:hAnsi="Calibri"/>
          <w:b w:val="0"/>
          <w:i w:val="0"/>
          <w:sz w:val="21"/>
        </w:rPr>
        <w:t>Solo el 58% de los hogares panameños con niños en edad escolar contaban con acceso a internet en 2021, cifra que cae al 23% en zonas rurales e indígenas (SENACYT, 2021). Las consecuencias de dos años de educación remota sin acceso equitativo a tecnología siguen siendo objeto de recuperación activa en 2024-2026, subrayando que las estrategias no pueden depender exclusivamente de la conectividad digital, especialmente para las poblaciones más vulnerables del sistema educativo panameño.</w:t>
      </w:r>
    </w:p>
    <w:p>
      <w:pPr>
        <w:spacing w:before="60" w:after="80" w:line="360" w:lineRule="auto"/>
        <w:jc w:val="both"/>
      </w:pPr>
      <w:r>
        <w:rPr>
          <w:rFonts w:ascii="Calibri" w:hAnsi="Calibri"/>
          <w:b w:val="0"/>
          <w:i w:val="0"/>
          <w:sz w:val="21"/>
        </w:rPr>
        <w:t>El impacto emocional y psicosocial de la pandemia es una dimensión crítica inseparable de la recuperación académica. El 38% de los niños y niñas entre 6 y 12 años reportaron síntomas de ansiedad moderada o severa, y el 27% de los adolescentes de 13 a 17 años presentaron indicadores de depresión clínicamente relevantes (UNICEF Panamá, 2023). Estos datos subrayan que el bienestar emocional del estudiante es condición necesaria para el aprendizaje académico efectivo.</w:t>
      </w:r>
    </w:p>
    <w:p>
      <w:pPr>
        <w:spacing w:before="60" w:after="80" w:line="360" w:lineRule="auto"/>
        <w:jc w:val="both"/>
      </w:pPr>
      <w:r>
        <w:rPr>
          <w:rFonts w:ascii="Calibri" w:hAnsi="Calibri"/>
          <w:b w:val="0"/>
          <w:i w:val="0"/>
          <w:sz w:val="21"/>
        </w:rPr>
        <w:t>El SIEC de MEDUCA (2025) reportó que al cierre del año escolar 2024-2025, el 41.2% de los estudiantes de primaria se ubicaba por debajo del nivel esperado en Español y el 47.8% en Matemáticas. En preescolar, el 35.7% de los niños de 5 años no alcanzaba los hitos de lenguaje esperados y el 29.3% presentaba rezago en coordinación motora fina y numeración básica. En premedia, las tasas de reprobación en Español y Matemáticas superaban el 32% promedio nacional.</w:t>
      </w:r>
    </w:p>
    <w:p>
      <w:pPr>
        <w:spacing w:before="60" w:after="80" w:line="360" w:lineRule="auto"/>
        <w:jc w:val="both"/>
      </w:pPr>
      <w:r>
        <w:rPr>
          <w:rFonts w:ascii="Calibri" w:hAnsi="Calibri"/>
          <w:b w:val="0"/>
          <w:i w:val="0"/>
          <w:sz w:val="21"/>
        </w:rPr>
        <w:t>El Plan Estratégico de Educación 2022-2026 (BID/CEPAL) establece la recuperación de aprendizajes como eje prioritario de la política educativa nacional. Sus metas para 2026 incluyen: que el 80% de los docentes del sistema oficial cuente con formación específica en evaluación formativa y recuperación; que el porcentaje de estudiantes de tercer grado sin nivel mínimo en Lectura sea reducido al 30%; y que se establezca un sistema nacional de alerta temprana de rezago. La formación docente especializada que propone este Diplomado responde directamente a estas metas.</w:t>
      </w:r>
    </w:p>
    <w:p/>
    <w:p>
      <w:pPr>
        <w:keepNext/>
        <w:spacing w:before="200" w:after="100"/>
        <w:jc w:val="left"/>
      </w:pPr>
      <w:r>
        <w:rPr>
          <w:rFonts w:ascii="Calibri" w:hAnsi="Calibri"/>
          <w:b/>
          <w:color w:val="8B6914"/>
          <w:sz w:val="26"/>
        </w:rPr>
        <w:t>Marco Normativo — Recuperación de Aprendizajes en Panamá</w:t>
      </w:r>
    </w:p>
    <w:p>
      <w:pPr>
        <w:spacing w:before="40" w:after="40" w:line="360" w:lineRule="auto"/>
        <w:ind w:left="283"/>
        <w:jc w:val="both"/>
      </w:pPr>
      <w:r>
        <w:rPr>
          <w:rFonts w:ascii="Calibri" w:hAnsi="Calibri"/>
          <w:b w:val="0"/>
          <w:i w:val="0"/>
          <w:sz w:val="20"/>
        </w:rPr>
        <w:t>■  Ley 34 de 1995 — Ley Orgánica de Educación de la República de Panamá</w:t>
      </w:r>
    </w:p>
    <w:p>
      <w:pPr>
        <w:spacing w:before="40" w:after="40" w:line="360" w:lineRule="auto"/>
        <w:ind w:left="283"/>
        <w:jc w:val="both"/>
      </w:pPr>
      <w:r>
        <w:rPr>
          <w:rFonts w:ascii="Calibri" w:hAnsi="Calibri"/>
          <w:b w:val="0"/>
          <w:i w:val="0"/>
          <w:sz w:val="20"/>
        </w:rPr>
        <w:t>■  Decreto Ejecutivo 305 de 2004 — Organización Académica del Sistema Educativo Panameño</w:t>
      </w:r>
    </w:p>
    <w:p>
      <w:pPr>
        <w:spacing w:before="40" w:after="40" w:line="360" w:lineRule="auto"/>
        <w:ind w:left="283"/>
        <w:jc w:val="both"/>
      </w:pPr>
      <w:r>
        <w:rPr>
          <w:rFonts w:ascii="Calibri" w:hAnsi="Calibri"/>
          <w:b w:val="0"/>
          <w:i w:val="0"/>
          <w:sz w:val="20"/>
        </w:rPr>
        <w:t>■  Ley 15 de 2016 — Sistema de Inclusión Educativa en la República de Panamá</w:t>
      </w:r>
    </w:p>
    <w:p>
      <w:pPr>
        <w:spacing w:before="40" w:after="40" w:line="360" w:lineRule="auto"/>
        <w:ind w:left="283"/>
        <w:jc w:val="both"/>
      </w:pPr>
      <w:r>
        <w:rPr>
          <w:rFonts w:ascii="Calibri" w:hAnsi="Calibri"/>
          <w:b w:val="0"/>
          <w:i w:val="0"/>
          <w:sz w:val="20"/>
        </w:rPr>
        <w:t>■  Decreto Ejecutivo No. 1 de enero de 2022 — Medidas Extraordinarias de Recuperación Post-COVID</w:t>
      </w:r>
    </w:p>
    <w:p>
      <w:pPr>
        <w:spacing w:before="40" w:after="40" w:line="360" w:lineRule="auto"/>
        <w:ind w:left="283"/>
        <w:jc w:val="both"/>
      </w:pPr>
      <w:r>
        <w:rPr>
          <w:rFonts w:ascii="Calibri" w:hAnsi="Calibri"/>
          <w:b w:val="0"/>
          <w:i w:val="0"/>
          <w:sz w:val="20"/>
        </w:rPr>
        <w:t>■  Resolución Ministerial MEDUCA No. 489 de 2022 — Lineamientos Técnico-Pedagógicos para Planes de Recuperación de Aprendizajes</w:t>
      </w:r>
    </w:p>
    <w:p>
      <w:pPr>
        <w:spacing w:before="40" w:after="40" w:line="360" w:lineRule="auto"/>
        <w:ind w:left="283"/>
        <w:jc w:val="both"/>
      </w:pPr>
      <w:r>
        <w:rPr>
          <w:rFonts w:ascii="Calibri" w:hAnsi="Calibri"/>
          <w:b w:val="0"/>
          <w:i w:val="0"/>
          <w:sz w:val="20"/>
        </w:rPr>
        <w:t>■  Resolución MEDUCA No. 1234 de 2022 — Plan Nacional de Recuperación de Aprendizajes 2022-2026</w:t>
      </w:r>
    </w:p>
    <w:p>
      <w:pPr>
        <w:spacing w:before="40" w:after="40" w:line="360" w:lineRule="auto"/>
        <w:ind w:left="283"/>
        <w:jc w:val="both"/>
      </w:pPr>
      <w:r>
        <w:rPr>
          <w:rFonts w:ascii="Calibri" w:hAnsi="Calibri"/>
          <w:b w:val="0"/>
          <w:i w:val="0"/>
          <w:sz w:val="20"/>
        </w:rPr>
        <w:t>■  Resolución MEDUCA No. 897 de 2024 — Actualización del Plan de Recuperación 2024-2026</w:t>
      </w:r>
    </w:p>
    <w:p>
      <w:pPr>
        <w:spacing w:before="40" w:after="40" w:line="360" w:lineRule="auto"/>
        <w:ind w:left="283"/>
        <w:jc w:val="both"/>
      </w:pPr>
      <w:r>
        <w:rPr>
          <w:rFonts w:ascii="Calibri" w:hAnsi="Calibri"/>
          <w:b w:val="0"/>
          <w:i w:val="0"/>
          <w:sz w:val="20"/>
        </w:rPr>
        <w:t>■  Decreto Ejecutivo No. 84 de 2015 — Reglamentación de la Educación Especial e Inclusiva</w:t>
      </w:r>
    </w:p>
    <w:p>
      <w:pPr>
        <w:spacing w:before="40" w:after="40" w:line="360" w:lineRule="auto"/>
        <w:ind w:left="283"/>
        <w:jc w:val="both"/>
      </w:pPr>
      <w:r>
        <w:rPr>
          <w:rFonts w:ascii="Calibri" w:hAnsi="Calibri"/>
          <w:b w:val="0"/>
          <w:i w:val="0"/>
          <w:sz w:val="20"/>
        </w:rPr>
        <w:t>■  Ley 23 de 2017 — Sistema de Evaluación y Rendición de Cuentas del Sistema Educativo</w:t>
      </w:r>
    </w:p>
    <w:p>
      <w:pPr>
        <w:spacing w:before="40" w:after="40" w:line="360" w:lineRule="auto"/>
        <w:ind w:left="283"/>
        <w:jc w:val="both"/>
      </w:pPr>
      <w:r>
        <w:rPr>
          <w:rFonts w:ascii="Calibri" w:hAnsi="Calibri"/>
          <w:b w:val="0"/>
          <w:i w:val="0"/>
          <w:sz w:val="20"/>
        </w:rPr>
        <w:t>■  Resolución MEDUCA No. 2456 de 2023 — Protocolo de Atención a Estudiantes en Riesgo de Rezago</w:t>
      </w:r>
    </w:p>
    <w:p/>
    <w:p>
      <w:pPr>
        <w:keepNext/>
        <w:spacing w:before="200" w:after="100"/>
        <w:jc w:val="left"/>
      </w:pPr>
      <w:r>
        <w:rPr>
          <w:rFonts w:ascii="Calibri" w:hAnsi="Calibri"/>
          <w:b/>
          <w:color w:val="8B6914"/>
          <w:sz w:val="26"/>
        </w:rPr>
        <w:t>Fuentes Generales del Diplomado</w:t>
      </w:r>
    </w:p>
    <w:p>
      <w:pPr>
        <w:spacing w:before="40" w:after="40" w:line="360" w:lineRule="auto"/>
        <w:ind w:left="283"/>
        <w:jc w:val="both"/>
      </w:pPr>
      <w:r>
        <w:rPr>
          <w:rFonts w:ascii="Calibri" w:hAnsi="Calibri"/>
          <w:b w:val="0"/>
          <w:i w:val="0"/>
          <w:sz w:val="20"/>
        </w:rPr>
        <w:t>1. MEDUCA (2022). Situación Educativa de Panamá 2021-2022. Ciudad de Panamá: Ministerio de Educación.</w:t>
      </w:r>
    </w:p>
    <w:p>
      <w:pPr>
        <w:spacing w:before="40" w:after="40" w:line="360" w:lineRule="auto"/>
        <w:ind w:left="283"/>
        <w:jc w:val="both"/>
      </w:pPr>
      <w:r>
        <w:rPr>
          <w:rFonts w:ascii="Calibri" w:hAnsi="Calibri"/>
          <w:b w:val="0"/>
          <w:i w:val="0"/>
          <w:sz w:val="20"/>
        </w:rPr>
        <w:t>2. UNESCO-OREALC (2021). Estudio Regional Comparativo y Explicativo ERCE 2019. Santiago: UNESCO.</w:t>
      </w:r>
    </w:p>
    <w:p>
      <w:pPr>
        <w:spacing w:before="40" w:after="40" w:line="360" w:lineRule="auto"/>
        <w:ind w:left="283"/>
        <w:jc w:val="both"/>
      </w:pPr>
      <w:r>
        <w:rPr>
          <w:rFonts w:ascii="Calibri" w:hAnsi="Calibri"/>
          <w:b w:val="0"/>
          <w:i w:val="0"/>
          <w:sz w:val="20"/>
        </w:rPr>
        <w:t>3. UNICEF Panamá (2023). Impacto Psicosocial de la Pandemia en la Niñez Panameña. Ciudad de Panamá.</w:t>
      </w:r>
    </w:p>
    <w:p>
      <w:pPr>
        <w:spacing w:before="40" w:after="40" w:line="360" w:lineRule="auto"/>
        <w:ind w:left="283"/>
        <w:jc w:val="both"/>
      </w:pPr>
      <w:r>
        <w:rPr>
          <w:rFonts w:ascii="Calibri" w:hAnsi="Calibri"/>
          <w:b w:val="0"/>
          <w:i w:val="0"/>
          <w:sz w:val="20"/>
        </w:rPr>
        <w:t>4. SENACYT (2021). Brecha Digital en la Educación Panameña. Ciudad de Panamá.</w:t>
      </w:r>
    </w:p>
    <w:p>
      <w:pPr>
        <w:spacing w:before="40" w:after="40" w:line="360" w:lineRule="auto"/>
        <w:ind w:left="283"/>
        <w:jc w:val="both"/>
      </w:pPr>
      <w:r>
        <w:rPr>
          <w:rFonts w:ascii="Calibri" w:hAnsi="Calibri"/>
          <w:b w:val="0"/>
          <w:i w:val="0"/>
          <w:sz w:val="20"/>
        </w:rPr>
        <w:t>5. BID / CEPAL (2022). Plan Estratégico de Educación de Panamá 2022-2026. Washington D.C.</w:t>
      </w:r>
    </w:p>
    <w:p>
      <w:pPr>
        <w:spacing w:before="40" w:after="40" w:line="360" w:lineRule="auto"/>
        <w:ind w:left="283"/>
        <w:jc w:val="both"/>
      </w:pPr>
      <w:r>
        <w:rPr>
          <w:rFonts w:ascii="Calibri" w:hAnsi="Calibri"/>
          <w:b w:val="0"/>
          <w:i w:val="0"/>
          <w:sz w:val="20"/>
        </w:rPr>
        <w:t>6. Contraloría General de la República (2023). Informe Nacional de Auditoría Educativa 2023.</w:t>
      </w:r>
    </w:p>
    <w:p>
      <w:pPr>
        <w:spacing w:before="40" w:after="40" w:line="360" w:lineRule="auto"/>
        <w:ind w:left="283"/>
        <w:jc w:val="both"/>
      </w:pPr>
      <w:r>
        <w:rPr>
          <w:rFonts w:ascii="Calibri" w:hAnsi="Calibri"/>
          <w:b w:val="0"/>
          <w:i w:val="0"/>
          <w:sz w:val="20"/>
        </w:rPr>
        <w:t>7. MEDUCA / SIEC (2025). Estadísticas Educativas Anuales 2024-2025. Ciudad de Panamá.</w:t>
      </w:r>
    </w:p>
    <w:p>
      <w:pPr>
        <w:spacing w:before="40" w:after="40" w:line="360" w:lineRule="auto"/>
        <w:ind w:left="283"/>
        <w:jc w:val="both"/>
      </w:pPr>
      <w:r>
        <w:rPr>
          <w:rFonts w:ascii="Calibri" w:hAnsi="Calibri"/>
          <w:b w:val="0"/>
          <w:i w:val="0"/>
          <w:sz w:val="20"/>
        </w:rPr>
        <w:t>8. Banco Mundial (2022). The State of the Global Education Crisis. Washington D.C.</w:t>
      </w:r>
    </w:p>
    <w:p>
      <w:pPr>
        <w:spacing w:before="40" w:after="40" w:line="360" w:lineRule="auto"/>
        <w:ind w:left="283"/>
        <w:jc w:val="both"/>
      </w:pPr>
      <w:r>
        <w:rPr>
          <w:rFonts w:ascii="Calibri" w:hAnsi="Calibri"/>
          <w:b w:val="0"/>
          <w:i w:val="0"/>
          <w:sz w:val="20"/>
        </w:rPr>
        <w:t>9. UNESCO (2022). Education: From school closure to recovery. Paris: UNESCO Publishing.</w:t>
      </w:r>
    </w:p>
    <w:p>
      <w:pPr>
        <w:spacing w:before="40" w:after="40" w:line="360" w:lineRule="auto"/>
        <w:ind w:left="283"/>
        <w:jc w:val="both"/>
      </w:pPr>
      <w:r>
        <w:rPr>
          <w:rFonts w:ascii="Calibri" w:hAnsi="Calibri"/>
          <w:b w:val="0"/>
          <w:i w:val="0"/>
          <w:sz w:val="20"/>
        </w:rPr>
        <w:t>10. Hattie, J. (2023). Visible Learning: The Sequel. London: Routledge.</w:t>
      </w:r>
    </w:p>
    <w:p>
      <w:pPr>
        <w:spacing w:before="40" w:after="40" w:line="360" w:lineRule="auto"/>
        <w:ind w:left="283"/>
        <w:jc w:val="both"/>
      </w:pPr>
      <w:r>
        <w:rPr>
          <w:rFonts w:ascii="Calibri" w:hAnsi="Calibri"/>
          <w:b w:val="0"/>
          <w:i w:val="0"/>
          <w:sz w:val="20"/>
        </w:rPr>
        <w:t>11. Vygotsky, L. S. (1978). Mind in Society. Cambridge: Harvard University Press.</w:t>
      </w:r>
    </w:p>
    <w:p>
      <w:pPr>
        <w:spacing w:before="40" w:after="40" w:line="360" w:lineRule="auto"/>
        <w:ind w:left="283"/>
        <w:jc w:val="both"/>
      </w:pPr>
      <w:r>
        <w:rPr>
          <w:rFonts w:ascii="Calibri" w:hAnsi="Calibri"/>
          <w:b w:val="0"/>
          <w:i w:val="0"/>
          <w:sz w:val="20"/>
        </w:rPr>
        <w:t>12. Anderson, L. W. &amp; Krathwohl, D. R. (2001). A Taxonomy for Learning, Teaching, and Assessing. New York: Longman.</w:t>
      </w:r>
    </w:p>
    <w:p>
      <w:pPr>
        <w:spacing w:before="40" w:after="40" w:line="360" w:lineRule="auto"/>
        <w:ind w:left="283"/>
        <w:jc w:val="both"/>
      </w:pPr>
      <w:r>
        <w:rPr>
          <w:rFonts w:ascii="Calibri" w:hAnsi="Calibri"/>
          <w:b w:val="0"/>
          <w:i w:val="0"/>
          <w:sz w:val="20"/>
        </w:rPr>
        <w:t>13. CAST (2018). Universal Design for Learning Guidelines version 2.2. Wakefield, MA.</w:t>
      </w:r>
    </w:p>
    <w:p>
      <w:pPr>
        <w:spacing w:before="40" w:after="40" w:line="360" w:lineRule="auto"/>
        <w:ind w:left="283"/>
        <w:jc w:val="both"/>
      </w:pPr>
      <w:r>
        <w:rPr>
          <w:rFonts w:ascii="Calibri" w:hAnsi="Calibri"/>
          <w:b w:val="0"/>
          <w:i w:val="0"/>
          <w:sz w:val="20"/>
        </w:rPr>
        <w:t>14. Black, P. &amp; Wiliam, D. (2018). Classroom Assessment and the Kyoto Protocol. European Journal of Education.</w:t>
      </w:r>
    </w:p>
    <w:p>
      <w:pPr>
        <w:spacing w:before="40" w:after="40" w:line="360" w:lineRule="auto"/>
        <w:ind w:left="283"/>
        <w:jc w:val="both"/>
      </w:pPr>
      <w:r>
        <w:rPr>
          <w:rFonts w:ascii="Calibri" w:hAnsi="Calibri"/>
          <w:b w:val="0"/>
          <w:i w:val="0"/>
          <w:sz w:val="20"/>
        </w:rPr>
        <w:t>15. Save the Children / Banco Mundial (2021). Accelerating Student Learning Recovery. Washington D.C.</w:t>
      </w:r>
    </w:p>
    <w:p>
      <w:pPr>
        <w:spacing w:before="40" w:after="40" w:line="360" w:lineRule="auto"/>
        <w:ind w:left="283"/>
        <w:jc w:val="both"/>
      </w:pPr>
      <w:r>
        <w:rPr>
          <w:rFonts w:ascii="Calibri" w:hAnsi="Calibri"/>
          <w:b w:val="0"/>
          <w:i w:val="0"/>
          <w:sz w:val="20"/>
        </w:rPr>
        <w:t>16. Education Endowment Foundation (2023). Teaching and Learning Toolkit. London: EEF.</w:t>
      </w:r>
    </w:p>
    <w:p>
      <w:pPr>
        <w:spacing w:before="40" w:after="40" w:line="360" w:lineRule="auto"/>
        <w:ind w:left="283"/>
        <w:jc w:val="both"/>
      </w:pPr>
      <w:r>
        <w:rPr>
          <w:rFonts w:ascii="Calibri" w:hAnsi="Calibri"/>
          <w:b w:val="0"/>
          <w:i w:val="0"/>
          <w:sz w:val="20"/>
        </w:rPr>
        <w:t>17. Tomlinson, C.A. (2017). How to Differentiate Instruction in Academically Diverse Classrooms. ASCD.</w:t>
      </w:r>
    </w:p>
    <w:p>
      <w:pPr>
        <w:spacing w:before="40" w:after="40" w:line="360" w:lineRule="auto"/>
        <w:ind w:left="283"/>
        <w:jc w:val="both"/>
      </w:pPr>
      <w:r>
        <w:rPr>
          <w:rFonts w:ascii="Calibri" w:hAnsi="Calibri"/>
          <w:b w:val="0"/>
          <w:i w:val="0"/>
          <w:sz w:val="20"/>
        </w:rPr>
        <w:t>18. Dweck, C. (2006). Mindset: The New Psychology of Success. New York: Random House.</w:t>
      </w:r>
    </w:p>
    <w:p>
      <w:pPr>
        <w:spacing w:before="40" w:after="40" w:line="360" w:lineRule="auto"/>
        <w:ind w:left="283"/>
        <w:jc w:val="both"/>
      </w:pPr>
      <w:r>
        <w:rPr>
          <w:rFonts w:ascii="Calibri" w:hAnsi="Calibri"/>
          <w:b w:val="0"/>
          <w:i w:val="0"/>
          <w:sz w:val="20"/>
        </w:rPr>
        <w:t>19. Fullan, M. (2021). The Right Drivers for Whole System Success. East Melbourne: CSE.</w:t>
      </w:r>
    </w:p>
    <w:p>
      <w:pPr>
        <w:spacing w:before="40" w:after="40" w:line="360" w:lineRule="auto"/>
        <w:ind w:left="283"/>
        <w:jc w:val="both"/>
      </w:pPr>
      <w:r>
        <w:rPr>
          <w:rFonts w:ascii="Calibri" w:hAnsi="Calibri"/>
          <w:b w:val="0"/>
          <w:i w:val="0"/>
          <w:sz w:val="20"/>
        </w:rPr>
        <w:t>20. CEPAL / UNESCO (2020). La educación en tiempos de pandemia de COVID-19. Santiago.</w:t>
      </w:r>
    </w:p>
    <w:p>
      <w:r>
        <w:br w:type="page"/>
      </w:r>
    </w:p>
    <w:p>
      <w:pPr>
        <w:keepNext/>
        <w:spacing w:before="280" w:after="160"/>
        <w:jc w:val="left"/>
      </w:pPr>
      <w:r>
        <w:rPr>
          <w:rFonts w:ascii="Calibri" w:hAnsi="Calibri"/>
          <w:b/>
          <w:color w:val="8B6914"/>
          <w:sz w:val="36"/>
        </w:rPr>
        <w:t>II. TAXONOMÍA DE BLOOM EN LOS QUIZZES DEL DIPLOMADO</w:t>
      </w:r>
    </w:p>
    <w:p>
      <w:pPr>
        <w:pBdr>
          <w:bottom w:val="single" w:sz="6" w:space="1" w:color="8B6914"/>
        </w:pBdr>
        <w:spacing w:before="40" w:after="40"/>
      </w:pPr>
    </w:p>
    <w:p>
      <w:pPr>
        <w:spacing w:before="60" w:after="80" w:line="360" w:lineRule="auto"/>
        <w:jc w:val="both"/>
      </w:pPr>
      <w:r>
        <w:rPr>
          <w:rFonts w:ascii="Calibri" w:hAnsi="Calibri"/>
          <w:b w:val="0"/>
          <w:i w:val="0"/>
          <w:sz w:val="21"/>
        </w:rPr>
        <w:t>Cada unidad integra al menos un nivel de la Taxonomía de Bloom revisada (Anderson &amp; Krathwohl, 2001) en su quiz de evaluación, garantizando progresión cognitiva a lo largo del módulo. La siguiente tabla presenta los seis niveles con sus verbos clave y la intención de aprendizaje en el contexto de la recuperación de aprendizajes:</w:t>
      </w:r>
    </w:p>
    <w:p/>
    <w:tbl>
      <w:tblPr>
        <w:tblStyle w:val="TableGrid"/>
        <w:tblW w:type="auto" w:w="0"/>
        <w:tblLook w:firstColumn="1" w:firstRow="1" w:lastColumn="0" w:lastRow="0" w:noHBand="0" w:noVBand="1" w:val="04A0"/>
      </w:tblPr>
      <w:tblGrid>
        <w:gridCol w:w="3135"/>
        <w:gridCol w:w="3135"/>
        <w:gridCol w:w="3135"/>
      </w:tblGrid>
      <w:tr>
        <w:tc>
          <w:tcPr>
            <w:tcW w:type="dxa" w:w="3135"/>
            <w:shd w:val="clear" w:color="auto" w:fill="8B6914"/>
          </w:tcPr>
          <w:p>
            <w:r>
              <w:rPr>
                <w:rFonts w:ascii="Calibri" w:hAnsi="Calibri"/>
                <w:b/>
                <w:color w:val="FFFFFF"/>
                <w:sz w:val="18"/>
              </w:rPr>
              <w:t>Nivel de Bloom</w:t>
            </w:r>
          </w:p>
        </w:tc>
        <w:tc>
          <w:tcPr>
            <w:tcW w:type="dxa" w:w="3135"/>
            <w:shd w:val="clear" w:color="auto" w:fill="8B6914"/>
          </w:tcPr>
          <w:p>
            <w:r>
              <w:rPr>
                <w:rFonts w:ascii="Calibri" w:hAnsi="Calibri"/>
                <w:b/>
                <w:color w:val="FFFFFF"/>
                <w:sz w:val="18"/>
              </w:rPr>
              <w:t>Verbos Clave</w:t>
            </w:r>
          </w:p>
        </w:tc>
        <w:tc>
          <w:tcPr>
            <w:tcW w:type="dxa" w:w="3135"/>
            <w:shd w:val="clear" w:color="auto" w:fill="8B6914"/>
          </w:tcPr>
          <w:p>
            <w:r>
              <w:rPr>
                <w:rFonts w:ascii="Calibri" w:hAnsi="Calibri"/>
                <w:b/>
                <w:color w:val="FFFFFF"/>
                <w:sz w:val="18"/>
              </w:rPr>
              <w:t>Intención de Aprendizaje</w:t>
            </w:r>
          </w:p>
        </w:tc>
      </w:tr>
      <w:tr>
        <w:tc>
          <w:tcPr>
            <w:tcW w:type="dxa" w:w="3135"/>
            <w:shd w:val="clear" w:color="auto" w:fill="F0F4FF"/>
          </w:tcPr>
          <w:p>
            <w:r>
              <w:rPr>
                <w:rFonts w:ascii="Calibri" w:hAnsi="Calibri"/>
                <w:b/>
                <w:sz w:val="18"/>
              </w:rPr>
              <w:t>RECORDAR</w:t>
            </w:r>
          </w:p>
        </w:tc>
        <w:tc>
          <w:tcPr>
            <w:tcW w:type="dxa" w:w="3135"/>
            <w:shd w:val="clear" w:color="auto" w:fill="F0F4FF"/>
          </w:tcPr>
          <w:p>
            <w:r>
              <w:rPr>
                <w:rFonts w:ascii="Calibri" w:hAnsi="Calibri"/>
                <w:b w:val="0"/>
                <w:sz w:val="18"/>
              </w:rPr>
              <w:t>Identificar, listar, definir, reconocer, nombrar</w:t>
            </w:r>
          </w:p>
        </w:tc>
        <w:tc>
          <w:tcPr>
            <w:tcW w:type="dxa" w:w="3135"/>
            <w:shd w:val="clear" w:color="auto" w:fill="F0F4FF"/>
          </w:tcPr>
          <w:p>
            <w:r>
              <w:rPr>
                <w:rFonts w:ascii="Calibri" w:hAnsi="Calibri"/>
                <w:b w:val="0"/>
                <w:sz w:val="18"/>
              </w:rPr>
              <w:t>El participante recupera información básica sobre los fundamentos de la recuperación en su nivel educativo.</w:t>
            </w:r>
          </w:p>
        </w:tc>
      </w:tr>
      <w:tr>
        <w:tc>
          <w:tcPr>
            <w:tcW w:type="dxa" w:w="3135"/>
            <w:shd w:val="clear" w:color="auto" w:fill="F0FFF4"/>
          </w:tcPr>
          <w:p>
            <w:r>
              <w:rPr>
                <w:rFonts w:ascii="Calibri" w:hAnsi="Calibri"/>
                <w:b/>
                <w:sz w:val="18"/>
              </w:rPr>
              <w:t>COMPRENDER</w:t>
            </w:r>
          </w:p>
        </w:tc>
        <w:tc>
          <w:tcPr>
            <w:tcW w:type="dxa" w:w="3135"/>
            <w:shd w:val="clear" w:color="auto" w:fill="F0FFF4"/>
          </w:tcPr>
          <w:p>
            <w:r>
              <w:rPr>
                <w:rFonts w:ascii="Calibri" w:hAnsi="Calibri"/>
                <w:b w:val="0"/>
                <w:sz w:val="18"/>
              </w:rPr>
              <w:t>Explicar, resumir, interpretar, clasificar, comparar</w:t>
            </w:r>
          </w:p>
        </w:tc>
        <w:tc>
          <w:tcPr>
            <w:tcW w:type="dxa" w:w="3135"/>
            <w:shd w:val="clear" w:color="auto" w:fill="F0FFF4"/>
          </w:tcPr>
          <w:p>
            <w:r>
              <w:rPr>
                <w:rFonts w:ascii="Calibri" w:hAnsi="Calibri"/>
                <w:b w:val="0"/>
                <w:sz w:val="18"/>
              </w:rPr>
              <w:t>El participante demuestra comprensión del diagnóstico de aprendizajes y las estrategias de nivelación.</w:t>
            </w:r>
          </w:p>
        </w:tc>
      </w:tr>
      <w:tr>
        <w:tc>
          <w:tcPr>
            <w:tcW w:type="dxa" w:w="3135"/>
            <w:shd w:val="clear" w:color="auto" w:fill="FFF8E6"/>
          </w:tcPr>
          <w:p>
            <w:r>
              <w:rPr>
                <w:rFonts w:ascii="Calibri" w:hAnsi="Calibri"/>
                <w:b/>
                <w:sz w:val="18"/>
              </w:rPr>
              <w:t>APLICAR</w:t>
            </w:r>
          </w:p>
        </w:tc>
        <w:tc>
          <w:tcPr>
            <w:tcW w:type="dxa" w:w="3135"/>
            <w:shd w:val="clear" w:color="auto" w:fill="FFF8E6"/>
          </w:tcPr>
          <w:p>
            <w:r>
              <w:rPr>
                <w:rFonts w:ascii="Calibri" w:hAnsi="Calibri"/>
                <w:b w:val="0"/>
                <w:sz w:val="18"/>
              </w:rPr>
              <w:t>Usar, implementar, ejecutar, demostrar, resolver</w:t>
            </w:r>
          </w:p>
        </w:tc>
        <w:tc>
          <w:tcPr>
            <w:tcW w:type="dxa" w:w="3135"/>
            <w:shd w:val="clear" w:color="auto" w:fill="FFF8E6"/>
          </w:tcPr>
          <w:p>
            <w:r>
              <w:rPr>
                <w:rFonts w:ascii="Calibri" w:hAnsi="Calibri"/>
                <w:b w:val="0"/>
                <w:sz w:val="18"/>
              </w:rPr>
              <w:t>El participante aplica estrategias y herramientas de recuperación en situaciones concretas de su contexto.</w:t>
            </w:r>
          </w:p>
        </w:tc>
      </w:tr>
      <w:tr>
        <w:tc>
          <w:tcPr>
            <w:tcW w:type="dxa" w:w="3135"/>
            <w:shd w:val="clear" w:color="auto" w:fill="FFF0F0"/>
          </w:tcPr>
          <w:p>
            <w:r>
              <w:rPr>
                <w:rFonts w:ascii="Calibri" w:hAnsi="Calibri"/>
                <w:b/>
                <w:sz w:val="18"/>
              </w:rPr>
              <w:t>ANALIZAR</w:t>
            </w:r>
          </w:p>
        </w:tc>
        <w:tc>
          <w:tcPr>
            <w:tcW w:type="dxa" w:w="3135"/>
            <w:shd w:val="clear" w:color="auto" w:fill="FFF0F0"/>
          </w:tcPr>
          <w:p>
            <w:r>
              <w:rPr>
                <w:rFonts w:ascii="Calibri" w:hAnsi="Calibri"/>
                <w:b w:val="0"/>
                <w:sz w:val="18"/>
              </w:rPr>
              <w:t>Diferenciar, examinar, relacionar, organizar, atribuir</w:t>
            </w:r>
          </w:p>
        </w:tc>
        <w:tc>
          <w:tcPr>
            <w:tcW w:type="dxa" w:w="3135"/>
            <w:shd w:val="clear" w:color="auto" w:fill="FFF0F0"/>
          </w:tcPr>
          <w:p>
            <w:r>
              <w:rPr>
                <w:rFonts w:ascii="Calibri" w:hAnsi="Calibri"/>
                <w:b w:val="0"/>
                <w:sz w:val="18"/>
              </w:rPr>
              <w:t>El participante descompone situaciones pedagógicas complejas para identificar causas de las brechas.</w:t>
            </w:r>
          </w:p>
        </w:tc>
      </w:tr>
      <w:tr>
        <w:tc>
          <w:tcPr>
            <w:tcW w:type="dxa" w:w="3135"/>
            <w:shd w:val="clear" w:color="auto" w:fill="F0F0FF"/>
          </w:tcPr>
          <w:p>
            <w:r>
              <w:rPr>
                <w:rFonts w:ascii="Calibri" w:hAnsi="Calibri"/>
                <w:b/>
                <w:sz w:val="18"/>
              </w:rPr>
              <w:t>EVALUAR</w:t>
            </w:r>
          </w:p>
        </w:tc>
        <w:tc>
          <w:tcPr>
            <w:tcW w:type="dxa" w:w="3135"/>
            <w:shd w:val="clear" w:color="auto" w:fill="F0F0FF"/>
          </w:tcPr>
          <w:p>
            <w:r>
              <w:rPr>
                <w:rFonts w:ascii="Calibri" w:hAnsi="Calibri"/>
                <w:b w:val="0"/>
                <w:sz w:val="18"/>
              </w:rPr>
              <w:t>Juzgar, valorar, criticar, justificar, argumentar</w:t>
            </w:r>
          </w:p>
        </w:tc>
        <w:tc>
          <w:tcPr>
            <w:tcW w:type="dxa" w:w="3135"/>
            <w:shd w:val="clear" w:color="auto" w:fill="F0F0FF"/>
          </w:tcPr>
          <w:p>
            <w:r>
              <w:rPr>
                <w:rFonts w:ascii="Calibri" w:hAnsi="Calibri"/>
                <w:b w:val="0"/>
                <w:sz w:val="18"/>
              </w:rPr>
              <w:t>El participante emite juicios fundamentados sobre la efectividad de los planes de recuperación.</w:t>
            </w:r>
          </w:p>
        </w:tc>
      </w:tr>
      <w:tr>
        <w:tc>
          <w:tcPr>
            <w:tcW w:type="dxa" w:w="3135"/>
            <w:shd w:val="clear" w:color="auto" w:fill="FFF4F0"/>
          </w:tcPr>
          <w:p>
            <w:r>
              <w:rPr>
                <w:rFonts w:ascii="Calibri" w:hAnsi="Calibri"/>
                <w:b/>
                <w:sz w:val="18"/>
              </w:rPr>
              <w:t>CREAR</w:t>
            </w:r>
          </w:p>
        </w:tc>
        <w:tc>
          <w:tcPr>
            <w:tcW w:type="dxa" w:w="3135"/>
            <w:shd w:val="clear" w:color="auto" w:fill="FFF4F0"/>
          </w:tcPr>
          <w:p>
            <w:r>
              <w:rPr>
                <w:rFonts w:ascii="Calibri" w:hAnsi="Calibri"/>
                <w:b w:val="0"/>
                <w:sz w:val="18"/>
              </w:rPr>
              <w:t>Diseñar, construir, planificar, producir, formular</w:t>
            </w:r>
          </w:p>
        </w:tc>
        <w:tc>
          <w:tcPr>
            <w:tcW w:type="dxa" w:w="3135"/>
            <w:shd w:val="clear" w:color="auto" w:fill="FFF4F0"/>
          </w:tcPr>
          <w:p>
            <w:r>
              <w:rPr>
                <w:rFonts w:ascii="Calibri" w:hAnsi="Calibri"/>
                <w:b w:val="0"/>
                <w:sz w:val="18"/>
              </w:rPr>
              <w:t>El participante diseña planes, instrumentos y materiales originales para la recuperación de competencias.</w:t>
            </w:r>
          </w:p>
        </w:tc>
      </w:tr>
    </w:tbl>
    <w:p>
      <w:r>
        <w:br w:type="page"/>
      </w:r>
    </w:p>
    <w:p>
      <w:pPr>
        <w:keepNext/>
        <w:spacing w:before="280" w:after="160"/>
        <w:jc w:val="left"/>
      </w:pPr>
      <w:r>
        <w:rPr>
          <w:rFonts w:ascii="Calibri" w:hAnsi="Calibri"/>
          <w:b/>
          <w:color w:val="8B6914"/>
          <w:sz w:val="36"/>
        </w:rPr>
        <w:t>III. PROGRAMA MODULAR — RESUMEN</w:t>
      </w:r>
    </w:p>
    <w:p>
      <w:pPr>
        <w:pBdr>
          <w:bottom w:val="single" w:sz="6" w:space="1" w:color="8B6914"/>
        </w:pBdr>
        <w:spacing w:before="40" w:after="40"/>
      </w:pPr>
    </w:p>
    <w:p>
      <w:pPr>
        <w:spacing w:before="60" w:after="80" w:line="360" w:lineRule="auto"/>
        <w:jc w:val="both"/>
      </w:pPr>
      <w:r>
        <w:rPr>
          <w:rFonts w:ascii="Calibri" w:hAnsi="Calibri"/>
          <w:b w:val="0"/>
          <w:i w:val="0"/>
          <w:sz w:val="21"/>
        </w:rPr>
        <w:t>El Diplomado en Recuperación de Aprendizajes y Competencias Fundamentales en Premedia se estructura en 8 módulos: los módulos 1 al 4 son módulos base compartidos con todos los niveles educativos (Preescolar, Primaria, Premedia y Media). Los módulos 5 al 8 son módulos específicos del nivel de Premedia, que abordan las competencias, estrategias y contextos pedagógicos propios de ese nivel educativo. Total: 80 unidades · 210 horas · 80 quizzes con taxonomía de Bloom.</w:t>
      </w:r>
    </w:p>
    <w:p/>
    <w:tbl>
      <w:tblPr>
        <w:tblStyle w:val="TableGrid"/>
        <w:tblW w:type="auto" w:w="0"/>
        <w:tblLook w:firstColumn="1" w:firstRow="1" w:lastColumn="0" w:lastRow="0" w:noHBand="0" w:noVBand="1" w:val="04A0"/>
      </w:tblPr>
      <w:tblGrid>
        <w:gridCol w:w="2351"/>
        <w:gridCol w:w="2351"/>
        <w:gridCol w:w="2351"/>
        <w:gridCol w:w="2351"/>
      </w:tblGrid>
      <w:tr>
        <w:tc>
          <w:tcPr>
            <w:tcW w:type="dxa" w:w="2351"/>
            <w:shd w:val="clear" w:color="auto" w:fill="8B6914"/>
          </w:tcPr>
          <w:p>
            <w:r>
              <w:rPr>
                <w:rFonts w:ascii="Calibri" w:hAnsi="Calibri"/>
                <w:b/>
                <w:color w:val="FFFFFF"/>
                <w:sz w:val="18"/>
              </w:rPr>
              <w:t>Módulo</w:t>
            </w:r>
          </w:p>
        </w:tc>
        <w:tc>
          <w:tcPr>
            <w:tcW w:type="dxa" w:w="2351"/>
            <w:shd w:val="clear" w:color="auto" w:fill="8B6914"/>
          </w:tcPr>
          <w:p>
            <w:r>
              <w:rPr>
                <w:rFonts w:ascii="Calibri" w:hAnsi="Calibri"/>
                <w:b/>
                <w:color w:val="FFFFFF"/>
                <w:sz w:val="18"/>
              </w:rPr>
              <w:t>Título</w:t>
            </w:r>
          </w:p>
        </w:tc>
        <w:tc>
          <w:tcPr>
            <w:tcW w:type="dxa" w:w="2351"/>
            <w:shd w:val="clear" w:color="auto" w:fill="8B6914"/>
          </w:tcPr>
          <w:p>
            <w:r>
              <w:rPr>
                <w:rFonts w:ascii="Calibri" w:hAnsi="Calibri"/>
                <w:b/>
                <w:color w:val="FFFFFF"/>
                <w:sz w:val="18"/>
              </w:rPr>
              <w:t>Horas</w:t>
            </w:r>
          </w:p>
        </w:tc>
        <w:tc>
          <w:tcPr>
            <w:tcW w:type="dxa" w:w="2351"/>
            <w:shd w:val="clear" w:color="auto" w:fill="8B6914"/>
          </w:tcPr>
          <w:p>
            <w:r>
              <w:rPr>
                <w:rFonts w:ascii="Calibri" w:hAnsi="Calibri"/>
                <w:b/>
                <w:color w:val="FFFFFF"/>
                <w:sz w:val="18"/>
              </w:rPr>
              <w:t>Tipo</w:t>
            </w:r>
          </w:p>
        </w:tc>
      </w:tr>
      <w:tr>
        <w:tc>
          <w:tcPr>
            <w:tcW w:type="dxa" w:w="2351"/>
            <w:shd w:val="clear" w:color="auto" w:fill="EEFAF0"/>
          </w:tcPr>
          <w:p>
            <w:r>
              <w:rPr>
                <w:rFonts w:ascii="Calibri" w:hAnsi="Calibri"/>
                <w:b/>
                <w:sz w:val="18"/>
              </w:rPr>
              <w:t>M1</w:t>
            </w:r>
          </w:p>
        </w:tc>
        <w:tc>
          <w:tcPr>
            <w:tcW w:type="dxa" w:w="2351"/>
            <w:shd w:val="clear" w:color="auto" w:fill="EEFAF0"/>
          </w:tcPr>
          <w:p>
            <w:r>
              <w:rPr>
                <w:rFonts w:ascii="Calibri" w:hAnsi="Calibri"/>
                <w:b w:val="0"/>
                <w:sz w:val="18"/>
              </w:rPr>
              <w:t>Fundamentos Teóricos de la Recuperación de Aprendizajes en el Contexto Panameño</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M2</w:t>
            </w:r>
          </w:p>
        </w:tc>
        <w:tc>
          <w:tcPr>
            <w:tcW w:type="dxa" w:w="2351"/>
            <w:shd w:val="clear" w:color="auto" w:fill="EEFAF0"/>
          </w:tcPr>
          <w:p>
            <w:r>
              <w:rPr>
                <w:rFonts w:ascii="Calibri" w:hAnsi="Calibri"/>
                <w:b w:val="0"/>
                <w:sz w:val="18"/>
              </w:rPr>
              <w:t>Diagnóstico, Evaluación Formativa y Detección de Brechas de Aprendizaje</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M3</w:t>
            </w:r>
          </w:p>
        </w:tc>
        <w:tc>
          <w:tcPr>
            <w:tcW w:type="dxa" w:w="2351"/>
            <w:shd w:val="clear" w:color="auto" w:fill="EEFAF0"/>
          </w:tcPr>
          <w:p>
            <w:r>
              <w:rPr>
                <w:rFonts w:ascii="Calibri" w:hAnsi="Calibri"/>
                <w:b w:val="0"/>
                <w:sz w:val="18"/>
              </w:rPr>
              <w:t>Estrategias Pedagógicas Basadas en Evidencia para la Recuperación de Competencias</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EEFAF0"/>
          </w:tcPr>
          <w:p>
            <w:r>
              <w:rPr>
                <w:rFonts w:ascii="Calibri" w:hAnsi="Calibri"/>
                <w:b/>
                <w:sz w:val="18"/>
              </w:rPr>
              <w:t>M4</w:t>
            </w:r>
          </w:p>
        </w:tc>
        <w:tc>
          <w:tcPr>
            <w:tcW w:type="dxa" w:w="2351"/>
            <w:shd w:val="clear" w:color="auto" w:fill="EEFAF0"/>
          </w:tcPr>
          <w:p>
            <w:r>
              <w:rPr>
                <w:rFonts w:ascii="Calibri" w:hAnsi="Calibri"/>
                <w:b w:val="0"/>
                <w:sz w:val="18"/>
              </w:rPr>
              <w:t>Diseño de Planes de Recuperación, Nivelación y Acompañamiento Pedagógico</w:t>
            </w:r>
          </w:p>
        </w:tc>
        <w:tc>
          <w:tcPr>
            <w:tcW w:type="dxa" w:w="2351"/>
            <w:shd w:val="clear" w:color="auto" w:fill="EEFAF0"/>
          </w:tcPr>
          <w:p>
            <w:r>
              <w:rPr>
                <w:rFonts w:ascii="Calibri" w:hAnsi="Calibri"/>
                <w:b w:val="0"/>
                <w:sz w:val="18"/>
              </w:rPr>
              <w:t>26 h</w:t>
            </w:r>
          </w:p>
        </w:tc>
        <w:tc>
          <w:tcPr>
            <w:tcW w:type="dxa" w:w="2351"/>
            <w:shd w:val="clear" w:color="auto" w:fill="EEFAF0"/>
          </w:tcPr>
          <w:p>
            <w:r>
              <w:rPr>
                <w:rFonts w:ascii="Calibri" w:hAnsi="Calibri"/>
                <w:b w:val="0"/>
                <w:sz w:val="18"/>
              </w:rPr>
              <w:t>Compartido M1-M4</w:t>
            </w:r>
          </w:p>
        </w:tc>
      </w:tr>
      <w:tr>
        <w:tc>
          <w:tcPr>
            <w:tcW w:type="dxa" w:w="2351"/>
            <w:shd w:val="clear" w:color="auto" w:fill="FFF0F0"/>
          </w:tcPr>
          <w:p>
            <w:r>
              <w:rPr>
                <w:rFonts w:ascii="Calibri" w:hAnsi="Calibri"/>
                <w:b/>
                <w:sz w:val="18"/>
              </w:rPr>
              <w:t>M5</w:t>
            </w:r>
          </w:p>
        </w:tc>
        <w:tc>
          <w:tcPr>
            <w:tcW w:type="dxa" w:w="2351"/>
            <w:shd w:val="clear" w:color="auto" w:fill="FFF0F0"/>
          </w:tcPr>
          <w:p>
            <w:r>
              <w:rPr>
                <w:rFonts w:ascii="Calibri" w:hAnsi="Calibri"/>
                <w:b w:val="0"/>
                <w:sz w:val="18"/>
              </w:rPr>
              <w:t>Desarrollo Adolescente, Identidad y Bienestar Socioemocional en Premedia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PME</w:t>
            </w:r>
          </w:p>
        </w:tc>
      </w:tr>
      <w:tr>
        <w:tc>
          <w:tcPr>
            <w:tcW w:type="dxa" w:w="2351"/>
            <w:shd w:val="clear" w:color="auto" w:fill="FFF0F0"/>
          </w:tcPr>
          <w:p>
            <w:r>
              <w:rPr>
                <w:rFonts w:ascii="Calibri" w:hAnsi="Calibri"/>
                <w:b/>
                <w:sz w:val="18"/>
              </w:rPr>
              <w:t>M6</w:t>
            </w:r>
          </w:p>
        </w:tc>
        <w:tc>
          <w:tcPr>
            <w:tcW w:type="dxa" w:w="2351"/>
            <w:shd w:val="clear" w:color="auto" w:fill="FFF0F0"/>
          </w:tcPr>
          <w:p>
            <w:r>
              <w:rPr>
                <w:rFonts w:ascii="Calibri" w:hAnsi="Calibri"/>
                <w:b w:val="0"/>
                <w:sz w:val="18"/>
              </w:rPr>
              <w:t>Lectura Crítica, Escritura Argumentativa y Comunicación Oral en Premedia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PME</w:t>
            </w:r>
          </w:p>
        </w:tc>
      </w:tr>
      <w:tr>
        <w:tc>
          <w:tcPr>
            <w:tcW w:type="dxa" w:w="2351"/>
            <w:shd w:val="clear" w:color="auto" w:fill="FFF0F0"/>
          </w:tcPr>
          <w:p>
            <w:r>
              <w:rPr>
                <w:rFonts w:ascii="Calibri" w:hAnsi="Calibri"/>
                <w:b/>
                <w:sz w:val="18"/>
              </w:rPr>
              <w:t>M7</w:t>
            </w:r>
          </w:p>
        </w:tc>
        <w:tc>
          <w:tcPr>
            <w:tcW w:type="dxa" w:w="2351"/>
            <w:shd w:val="clear" w:color="auto" w:fill="FFF0F0"/>
          </w:tcPr>
          <w:p>
            <w:r>
              <w:rPr>
                <w:rFonts w:ascii="Calibri" w:hAnsi="Calibri"/>
                <w:b w:val="0"/>
                <w:sz w:val="18"/>
              </w:rPr>
              <w:t>Razonamiento Lógico-Matemático, Ciencias Básicas e Indagación en Premedia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PME</w:t>
            </w:r>
          </w:p>
        </w:tc>
      </w:tr>
      <w:tr>
        <w:tc>
          <w:tcPr>
            <w:tcW w:type="dxa" w:w="2351"/>
            <w:shd w:val="clear" w:color="auto" w:fill="FFF0F0"/>
          </w:tcPr>
          <w:p>
            <w:r>
              <w:rPr>
                <w:rFonts w:ascii="Calibri" w:hAnsi="Calibri"/>
                <w:b/>
                <w:sz w:val="18"/>
              </w:rPr>
              <w:t>M8</w:t>
            </w:r>
          </w:p>
        </w:tc>
        <w:tc>
          <w:tcPr>
            <w:tcW w:type="dxa" w:w="2351"/>
            <w:shd w:val="clear" w:color="auto" w:fill="FFF0F0"/>
          </w:tcPr>
          <w:p>
            <w:r>
              <w:rPr>
                <w:rFonts w:ascii="Calibri" w:hAnsi="Calibri"/>
                <w:b w:val="0"/>
                <w:sz w:val="18"/>
              </w:rPr>
              <w:t>Orientación Vocacional, Ciudadanía Digital e Inclusión en Premedia</w:t>
            </w:r>
          </w:p>
        </w:tc>
        <w:tc>
          <w:tcPr>
            <w:tcW w:type="dxa" w:w="2351"/>
            <w:shd w:val="clear" w:color="auto" w:fill="FFF0F0"/>
          </w:tcPr>
          <w:p>
            <w:r>
              <w:rPr>
                <w:rFonts w:ascii="Calibri" w:hAnsi="Calibri"/>
                <w:b w:val="0"/>
                <w:sz w:val="18"/>
              </w:rPr>
              <w:t>27 h</w:t>
            </w:r>
          </w:p>
        </w:tc>
        <w:tc>
          <w:tcPr>
            <w:tcW w:type="dxa" w:w="2351"/>
            <w:shd w:val="clear" w:color="auto" w:fill="FFF0F0"/>
          </w:tcPr>
          <w:p>
            <w:r>
              <w:rPr>
                <w:rFonts w:ascii="Calibri" w:hAnsi="Calibri"/>
                <w:b w:val="0"/>
                <w:sz w:val="18"/>
              </w:rPr>
              <w:t>Específico PME</w:t>
            </w:r>
          </w:p>
        </w:tc>
      </w:tr>
    </w:tbl>
    <w:p>
      <w:r>
        <w:br w:type="page"/>
      </w:r>
    </w:p>
    <w:p>
      <w:pPr>
        <w:keepNext/>
        <w:spacing w:before="280" w:after="160"/>
        <w:jc w:val="left"/>
      </w:pPr>
      <w:r>
        <w:rPr>
          <w:rFonts w:ascii="Calibri" w:hAnsi="Calibri"/>
          <w:b/>
          <w:color w:val="8B6914"/>
          <w:sz w:val="36"/>
        </w:rPr>
        <w:t>IV. DESARROLLO DETALLADO DE LOS MÓDULOS Y UNIDADES</w:t>
      </w:r>
    </w:p>
    <w:p>
      <w:pPr>
        <w:pBdr>
          <w:bottom w:val="single" w:sz="6" w:space="1" w:color="8B6914"/>
        </w:pBdr>
        <w:spacing w:before="40" w:after="40"/>
      </w:pPr>
    </w:p>
    <w:p>
      <w:pPr>
        <w:keepNext/>
        <w:spacing w:before="320" w:after="160"/>
        <w:jc w:val="left"/>
      </w:pPr>
      <w:r>
        <w:rPr>
          <w:rFonts w:ascii="Calibri" w:hAnsi="Calibri"/>
          <w:b/>
          <w:color w:val="8B6914"/>
          <w:sz w:val="32"/>
        </w:rPr>
        <w:t>MÓDULO 1: Fundamentos Teóricos de la Recuperación de Aprendizajes en el Contexto Panameño</w:t>
      </w:r>
    </w:p>
    <w:p>
      <w:pPr>
        <w:keepNext w:val="0"/>
        <w:spacing w:before="40" w:after="120"/>
        <w:jc w:val="left"/>
      </w:pPr>
      <w:r>
        <w:rPr>
          <w:rFonts w:ascii="Calibri" w:hAnsi="Calibri"/>
          <w:b w:val="0"/>
          <w:color w:val="5A6370"/>
          <w:sz w:val="22"/>
        </w:rPr>
        <w:t>(Módulo Base — Compartido con todos los niveles)</w:t>
      </w:r>
    </w:p>
    <w:p>
      <w:pPr>
        <w:pBdr>
          <w:bottom w:val="single" w:sz="4" w:space="1" w:color="8B6914"/>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6914"/>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comprenderá los fundamentos teóricos y conceptuales de la recuperación de aprendizajes en el sistema educativo panameño, identificará los marcos conceptuales internacionales más relevantes y reconocerá las bases epistemológicas que sustentan la práctica pedagógica de la nivelación y recuperación.</w:t>
            </w:r>
          </w:p>
        </w:tc>
      </w:tr>
      <w:tr>
        <w:tc>
          <w:tcPr>
            <w:tcW w:type="dxa" w:w="2551"/>
            <w:shd w:val="clear" w:color="auto" w:fill="8B6914"/>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8B6914"/>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PME-1: Ensayo reflexivo sobre los fundamentos conceptuales y el contexto educativo local para la recuperación de aprendizajes en el nivel educativo del participante (mínimo 1,500 palabras, referencias APA 7.ª ed.).</w:t>
            </w:r>
          </w:p>
        </w:tc>
      </w:tr>
    </w:tbl>
    <w:p/>
    <w:p>
      <w:pPr>
        <w:keepNext w:val="0"/>
        <w:spacing w:before="160" w:after="60"/>
        <w:jc w:val="left"/>
      </w:pPr>
      <w:r>
        <w:rPr>
          <w:rFonts w:ascii="Calibri" w:hAnsi="Calibri"/>
          <w:b w:val="0"/>
          <w:color w:val="5A6370"/>
          <w:sz w:val="22"/>
        </w:rPr>
        <w:t>Fuentes de Referencia — Módulo 1:</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L.W. &amp; Krathwohl, D.R. (2001). Taxonomy for Learning, Teaching, and Assessing. Longman.</w:t>
      </w:r>
    </w:p>
    <w:p>
      <w:pPr>
        <w:spacing w:before="20" w:after="20" w:line="360" w:lineRule="auto"/>
        <w:ind w:left="283"/>
        <w:jc w:val="both"/>
      </w:pPr>
      <w:r>
        <w:rPr>
          <w:rFonts w:ascii="Calibri" w:hAnsi="Calibri"/>
          <w:b w:val="0"/>
          <w:i w:val="0"/>
          <w:color w:val="5A6370"/>
          <w:sz w:val="18"/>
        </w:rPr>
        <w:t>○  Vygotsky, L.S. (1978). Mind in Society. Cambridge: Harvard University Press.</w:t>
      </w:r>
    </w:p>
    <w:p>
      <w:pPr>
        <w:spacing w:before="20" w:after="20" w:line="360" w:lineRule="auto"/>
        <w:ind w:left="283"/>
        <w:jc w:val="both"/>
      </w:pPr>
      <w:r>
        <w:rPr>
          <w:rFonts w:ascii="Calibri" w:hAnsi="Calibri"/>
          <w:b w:val="0"/>
          <w:i w:val="0"/>
          <w:color w:val="5A6370"/>
          <w:sz w:val="18"/>
        </w:rPr>
        <w:t>○  CAST (2018). UDL Guidelines 2.2. Wakefield, MA.</w:t>
      </w:r>
    </w:p>
    <w:p>
      <w:pPr>
        <w:spacing w:before="20" w:after="20" w:line="360" w:lineRule="auto"/>
        <w:ind w:left="283"/>
        <w:jc w:val="both"/>
      </w:pPr>
      <w:r>
        <w:rPr>
          <w:rFonts w:ascii="Calibri" w:hAnsi="Calibri"/>
          <w:b w:val="0"/>
          <w:i w:val="0"/>
          <w:color w:val="5A6370"/>
          <w:sz w:val="18"/>
        </w:rPr>
        <w:t>○  Dweck, C. (2006). Mindset: The New Psychology of Success. Random House.</w:t>
      </w:r>
    </w:p>
    <w:p>
      <w:pPr>
        <w:spacing w:before="20" w:after="20" w:line="360" w:lineRule="auto"/>
        <w:ind w:left="283"/>
        <w:jc w:val="both"/>
      </w:pPr>
      <w:r>
        <w:rPr>
          <w:rFonts w:ascii="Calibri" w:hAnsi="Calibri"/>
          <w:b w:val="0"/>
          <w:i w:val="0"/>
          <w:color w:val="5A6370"/>
          <w:sz w:val="18"/>
        </w:rPr>
        <w:t>○  Save the Children/Banco Mundial (2021). Accelerating Student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MEDUCA (2022). Resolución Ministerial No. 489 — Lineamientos para Planes de Recuperación.</w:t>
      </w:r>
    </w:p>
    <w:p>
      <w:pPr>
        <w:spacing w:before="20" w:after="20" w:line="360" w:lineRule="auto"/>
        <w:ind w:left="283"/>
        <w:jc w:val="both"/>
      </w:pPr>
      <w:r>
        <w:rPr>
          <w:rFonts w:ascii="Calibri" w:hAnsi="Calibri"/>
          <w:b w:val="0"/>
          <w:i w:val="0"/>
          <w:color w:val="5A6370"/>
          <w:sz w:val="18"/>
        </w:rPr>
        <w:t>○  Guskey, T.R. (2010). Lessons of Mastery Learning. Educational Leadership, 68(2), 52-57.</w:t>
      </w:r>
    </w:p>
    <w:p>
      <w:pPr>
        <w:spacing w:before="20" w:after="20" w:line="360" w:lineRule="auto"/>
        <w:ind w:left="283"/>
        <w:jc w:val="both"/>
      </w:pPr>
      <w:r>
        <w:rPr>
          <w:rFonts w:ascii="Calibri" w:hAnsi="Calibri"/>
          <w:b w:val="0"/>
          <w:i w:val="0"/>
          <w:color w:val="5A6370"/>
          <w:sz w:val="18"/>
        </w:rPr>
        <w:t>○  Black, P. &amp; Wiliam, D. (2018). Classroom Assessment. European Journal of Education.</w:t>
      </w:r>
    </w:p>
    <w:p/>
    <w:p>
      <w:pPr>
        <w:keepNext/>
        <w:spacing w:before="240" w:after="100"/>
        <w:jc w:val="left"/>
      </w:pPr>
      <w:r>
        <w:rPr>
          <w:rFonts w:ascii="Calibri" w:hAnsi="Calibri"/>
          <w:b/>
          <w:color w:val="12265B"/>
          <w:sz w:val="26"/>
        </w:rPr>
        <w:t>Unidad 1: Conceptualización de la recuperación de aprendizajes</w:t>
      </w:r>
    </w:p>
    <w:p>
      <w:pPr>
        <w:spacing w:before="40" w:after="100" w:line="360" w:lineRule="auto"/>
        <w:jc w:val="both"/>
      </w:pPr>
      <w:r>
        <w:rPr>
          <w:rFonts w:ascii="Calibri" w:hAnsi="Calibri"/>
          <w:b w:val="0"/>
          <w:i/>
          <w:sz w:val="20"/>
        </w:rPr>
        <w:t>Objetivo: Definir el concepto de recuperación de aprendizajes, distinguirlo de nociones afines e identificar sus alcances y dimensiones en el contexto educativo panameño.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recuperación de aprendizajes es el conjunto de procesos pedagógicos intencionados, sistemáticos y basados en evidencia, orientados a restituir en el estudiante competencias, conocimientos y habilidades no adquiridas durante el proceso de enseñanza ordinario. Esta definición destaca la centralidad de la intencionalidad pedagógica: no se trata de repetir lo que no se aprendió, sino de diseñar experiencias de aprendizaje nuevas que respondan a las causas específicas de la brecha identificada en cada estudiante.</w:t>
      </w:r>
    </w:p>
    <w:p>
      <w:pPr>
        <w:spacing w:before="60" w:after="80" w:line="360" w:lineRule="auto"/>
        <w:jc w:val="both"/>
      </w:pPr>
      <w:r>
        <w:rPr>
          <w:rFonts w:ascii="Calibri" w:hAnsi="Calibri"/>
          <w:b w:val="0"/>
          <w:i w:val="0"/>
          <w:sz w:val="21"/>
        </w:rPr>
        <w:t>El concepto de refuerzo escolar tiene un alcance más limitado: se refiere a la práctica de proporcionar tiempo adicional y ejercitación extra sobre los mismos contenidos ya trabajados, sin necesariamente modificar las estrategias pedagógicas. La investigación educativa demuestra que el refuerzo por sí solo tiene efectos modestos cuando no va acompañado de un diagnóstico preciso de las causas del no-aprendizaje y de una adaptación genuina de la metodología.</w:t>
      </w:r>
    </w:p>
    <w:p>
      <w:pPr>
        <w:spacing w:before="60" w:after="80" w:line="360" w:lineRule="auto"/>
        <w:jc w:val="both"/>
      </w:pPr>
      <w:r>
        <w:rPr>
          <w:rFonts w:ascii="Calibri" w:hAnsi="Calibri"/>
          <w:b w:val="0"/>
          <w:i w:val="0"/>
          <w:sz w:val="21"/>
        </w:rPr>
        <w:t>La nivelación designa el proceso de ajustar el nivel de competencia del estudiante al estándar esperado para su grado mediante intervenciones planificadas antes de que el retroceso se consolide. Tiene una función preventiva y correctiva: previene que una brecha puntual se convierta en un rezago acumulado y crónico que bloquee el acceso al currículo de grados posteriores.</w:t>
      </w:r>
    </w:p>
    <w:p>
      <w:pPr>
        <w:spacing w:before="60" w:after="80" w:line="360" w:lineRule="auto"/>
        <w:jc w:val="both"/>
      </w:pPr>
      <w:r>
        <w:rPr>
          <w:rFonts w:ascii="Calibri" w:hAnsi="Calibri"/>
          <w:b w:val="0"/>
          <w:i w:val="0"/>
          <w:sz w:val="21"/>
        </w:rPr>
        <w:t>La distinción entre estos conceptos —recuperación, refuerzo, nivelación y educación remedial— no es meramente semántica: tiene consecuencias directas sobre el diseño de las intervenciones, los recursos asignados y los criterios para evaluar la efectividad. Un docente que confunde refuerzo con recuperación diseñará actividades de ejercitación que reproducirán los mismos resultados insatisfactorios de la enseñanza regular.</w:t>
      </w:r>
    </w:p>
    <w:p>
      <w:pPr>
        <w:spacing w:before="60" w:after="80" w:line="360" w:lineRule="auto"/>
        <w:jc w:val="both"/>
      </w:pPr>
      <w:r>
        <w:rPr>
          <w:rFonts w:ascii="Calibri" w:hAnsi="Calibri"/>
          <w:b w:val="0"/>
          <w:i w:val="0"/>
          <w:sz w:val="21"/>
        </w:rPr>
        <w:t>La recuperación de aprendizajes integra cuatro dimensiones que deben considerarse simultáneamente: la cognitiva (competencias y habilidades académicas no adquiridas), la socioemocional (el correlato emocional del fracaso académico), la contextual (factores del entorno que condicionan las brechas y su superación) y la institucional (responsabilidad del centro educativo por las condiciones pedagógicas que generaron las brechas).</w:t>
      </w:r>
    </w:p>
    <w:p>
      <w:pPr>
        <w:spacing w:before="60" w:after="80" w:line="360" w:lineRule="auto"/>
        <w:jc w:val="both"/>
      </w:pPr>
      <w:r>
        <w:rPr>
          <w:rFonts w:ascii="Calibri" w:hAnsi="Calibri"/>
          <w:b w:val="0"/>
          <w:i w:val="0"/>
          <w:sz w:val="21"/>
        </w:rPr>
        <w:t>La zona de desarrollo próximo (Vygotsky, 1978) es la distancia entre lo que el estudiante puede hacer de manera autónoma y lo que puede lograr con el apoyo de un par o de un adulto experto. Identificar la ZDP de cada estudiante es la tarea diagnóstica más sofisticada del docente de recuperación, porque señala exactamente cuál es el espacio pedagógico donde el andamiaje adecuado puede producir aprendizaje nuevo.</w:t>
      </w:r>
    </w:p>
    <w:p>
      <w:pPr>
        <w:spacing w:before="60" w:after="80" w:line="360" w:lineRule="auto"/>
        <w:jc w:val="both"/>
      </w:pPr>
      <w:r>
        <w:rPr>
          <w:rFonts w:ascii="Calibri" w:hAnsi="Calibri"/>
          <w:b w:val="0"/>
          <w:i w:val="0"/>
          <w:sz w:val="21"/>
        </w:rPr>
        <w:t>La taxonomía de Bloom revisada (Anderson &amp; Krathwohl, 2001) ofrece un marco para diseñar intervenciones de recuperación que promuevan niveles cognitivos progresivamente más complejos. Partir de los niveles de recordar y comprender —evidenciando lo que el estudiante ya sabe— antes de avanzar hacia aplicar, analizar y crear, reduce la ansiedad y genera confianza progresiva en el aprendiz.</w:t>
      </w:r>
    </w:p>
    <w:p>
      <w:pPr>
        <w:spacing w:before="60" w:after="80" w:line="360" w:lineRule="auto"/>
        <w:jc w:val="both"/>
      </w:pPr>
      <w:r>
        <w:rPr>
          <w:rFonts w:ascii="Calibri" w:hAnsi="Calibri"/>
          <w:b w:val="0"/>
          <w:i w:val="0"/>
          <w:sz w:val="21"/>
        </w:rPr>
        <w:t>El Diseño Universal para el Aprendizaje (CAST, 2018) propone que los entornos de aprendizaje sean diseñados para atender la variabilidad natural de los aprendices, ofreciendo múltiples medios de representación, expresión y motivación. Aplicado a la recuperación, el DUA implica que las intervenciones deben ofrecer a cada estudiante el camino de acceso al aprendizaje que mejor responde a sus fortalezas, preferencias y necesidades.</w:t>
      </w:r>
    </w:p>
    <w:p>
      <w:pPr>
        <w:spacing w:before="60" w:after="80" w:line="360" w:lineRule="auto"/>
        <w:jc w:val="both"/>
      </w:pPr>
      <w:r>
        <w:rPr>
          <w:rFonts w:ascii="Calibri" w:hAnsi="Calibri"/>
          <w:b w:val="0"/>
          <w:i w:val="0"/>
          <w:sz w:val="21"/>
        </w:rPr>
        <w:t>La teoría de la mentalidad de crecimiento (Dweck, 2006) tiene especial importancia en recuperación de aprendizajes: cuando el docente comunica consistentemente la convicción de que todos los estudiantes pueden aprender con esfuerzo, estrategia y apoyo adecuado, los estudiantes en situación de rezago muestran mayor perseverancia y mejor rendimiento a largo plazo que cuando reciben mensajes implícitos o explícitos de incapacidad.</w:t>
      </w:r>
    </w:p>
    <w:p>
      <w:pPr>
        <w:spacing w:before="60" w:after="80" w:line="360" w:lineRule="auto"/>
        <w:jc w:val="both"/>
      </w:pPr>
      <w:r>
        <w:rPr>
          <w:rFonts w:ascii="Calibri" w:hAnsi="Calibri"/>
          <w:b w:val="0"/>
          <w:i w:val="0"/>
          <w:sz w:val="21"/>
        </w:rPr>
        <w:t>En el contexto panameño, la definición operativa de MEDUCA (Resolución 489 de 2022) establece que la recuperación es 'un proceso pedagógico planificado, continuo y flexible, orientado a garantizar que todos los estudiantes logren las competencias fundamentales del currículo oficial, con especial atención a las poblaciones en situación de mayor vulnerabilidad'. Esta definición refleja tres principios: la planificación deliberada, la continuidad y la equidad como orientación ética.</w:t>
      </w:r>
    </w:p>
    <w:p>
      <w:pPr>
        <w:spacing w:before="60" w:after="80" w:line="360" w:lineRule="auto"/>
        <w:jc w:val="both"/>
      </w:pPr>
      <w:r>
        <w:rPr>
          <w:rFonts w:ascii="Calibri" w:hAnsi="Calibri"/>
          <w:b w:val="0"/>
          <w:i w:val="0"/>
          <w:sz w:val="21"/>
        </w:rPr>
        <w:t>La recuperación efectiva es siempre una responsabilidad institucional y sistémica, no únicamente individual. Un centro educativo sin evaluación formativa sistemática, sin protocolos de detección temprana del rezago y sin formación docente en estrategias diferenciadas genera y perpetúa brechas de aprendizaje con independencia del esfuerzo individual de cada maestro.</w:t>
      </w:r>
    </w:p>
    <w:p>
      <w:pPr>
        <w:spacing w:before="60" w:after="80" w:line="360" w:lineRule="auto"/>
        <w:jc w:val="both"/>
      </w:pPr>
      <w:r>
        <w:rPr>
          <w:rFonts w:ascii="Calibri" w:hAnsi="Calibri"/>
          <w:b w:val="0"/>
          <w:i w:val="0"/>
          <w:sz w:val="21"/>
        </w:rPr>
        <w:t>La distinción entre aprendizaje superficial y aprendizaje profundo (Marton &amp; Säljö, 1976) tiene implicaciones directas para la recuperación: las intervenciones que solo buscan cubrir contenidos —lograr que el estudiante pueda responder una prueba estándar— pueden producir aprendizaje superficial que no persiste ni se transfiere. Las intervenciones verdaderamente efectivas apuntan a aprendizaje profundo que el estudiante puede sostener y ampliar de manera autónoma.</w:t>
      </w:r>
    </w:p>
    <w:p/>
    <w:p>
      <w:pPr>
        <w:keepNext/>
        <w:spacing w:before="240" w:after="100"/>
        <w:jc w:val="left"/>
      </w:pPr>
      <w:r>
        <w:rPr>
          <w:rFonts w:ascii="Calibri" w:hAnsi="Calibri"/>
          <w:b/>
          <w:color w:val="12265B"/>
          <w:sz w:val="26"/>
        </w:rPr>
        <w:t>Unidad 2: Enfoques teóricos internacionales sobre recuperación educativa post-crisis</w:t>
      </w:r>
    </w:p>
    <w:p>
      <w:pPr>
        <w:spacing w:before="40" w:after="100" w:line="360" w:lineRule="auto"/>
        <w:jc w:val="both"/>
      </w:pPr>
      <w:r>
        <w:rPr>
          <w:rFonts w:ascii="Calibri" w:hAnsi="Calibri"/>
          <w:b w:val="0"/>
          <w:i/>
          <w:sz w:val="20"/>
        </w:rPr>
        <w:t>Objetivo: Analizar los principales enfoques teóricos que orientan la recuperación de aprendizajes en contextos post-crisis, evaluando su pertinencia para el contexto panameño.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campo emergente de la recuperación educativa post-crisis —denominado internacionalmente education recovery— ha producido un cuerpo de evidencia de creciente solidez que orienta las intervenciones con mayor rigor que el aplicado históricamente a los programas de refuerzo escolar tradicionales. Revisar estos enfoques es indispensable para que el docente implemente estrategias fundamentadas y no simplemente repita las prácticas que no produjeron los aprendizajes esperados durante la enseñanza ordinaria.</w:t>
      </w:r>
    </w:p>
    <w:p>
      <w:pPr>
        <w:spacing w:before="60" w:after="80" w:line="360" w:lineRule="auto"/>
        <w:jc w:val="both"/>
      </w:pPr>
      <w:r>
        <w:rPr>
          <w:rFonts w:ascii="Calibri" w:hAnsi="Calibri"/>
          <w:b w:val="0"/>
          <w:i w:val="0"/>
          <w:sz w:val="21"/>
        </w:rPr>
        <w:t>El enfoque de la aceleración del aprendizaje (Save the Children/Banco Mundial, 2021) propone que, en lugar de regresar al contenido donde se detuvo el aprendizaje —que puede estar años por detrás del nivel actual del estudiante—, se aseguren primero los prerequisitos esenciales para el nivel actual y se avance con andamiaje intensivo. Este enfoque evita el 'agujero negro' de la recuperación: el riesgo de que el docente y el estudiante pasen todo el tiempo intentando recuperar grados anteriores sin progresar en el grado actual.</w:t>
      </w:r>
    </w:p>
    <w:p>
      <w:pPr>
        <w:spacing w:before="60" w:after="80" w:line="360" w:lineRule="auto"/>
        <w:jc w:val="both"/>
      </w:pPr>
      <w:r>
        <w:rPr>
          <w:rFonts w:ascii="Calibri" w:hAnsi="Calibri"/>
          <w:b w:val="0"/>
          <w:i w:val="0"/>
          <w:sz w:val="21"/>
        </w:rPr>
        <w:t>El modelo de tutorías intensivas (high-dosage tutoring), sistematizado por Nickow, Oreopoulos y Quan (2020) en un metaanálisis de 101 estudios, propone sesiones frecuentes —al menos tres veces por semana—, de pequeño grupo —no más de tres estudiantes por tutor— y con alta estructuración curricular. Los efectos son consistentemente positivos, con tamaños de efecto superiores a 0.30 desviaciones estándar, equivalentes a 3-5 meses de aprendizaje adicional por año.</w:t>
      </w:r>
    </w:p>
    <w:p>
      <w:pPr>
        <w:spacing w:before="60" w:after="80" w:line="360" w:lineRule="auto"/>
        <w:jc w:val="both"/>
      </w:pPr>
      <w:r>
        <w:rPr>
          <w:rFonts w:ascii="Calibri" w:hAnsi="Calibri"/>
          <w:b w:val="0"/>
          <w:i w:val="0"/>
          <w:sz w:val="21"/>
        </w:rPr>
        <w:t>El enfoque de la enseñanza estructurada (structured pedagogy) propone que los docentes, especialmente en contextos post-crisis, se benefician de materiales curriculares altamente estructurados y secuenciados en lugar de solo formación teórica sin materiales. La evidencia de estudios en países de bajos y medianos ingresos muestra efectos de aprendizaje dos a tres veces mayores que los programas de formación docente sin materiales curriculares específicos (Piper et al., 2018).</w:t>
      </w:r>
    </w:p>
    <w:p>
      <w:pPr>
        <w:spacing w:before="60" w:after="80" w:line="360" w:lineRule="auto"/>
        <w:jc w:val="both"/>
      </w:pPr>
      <w:r>
        <w:rPr>
          <w:rFonts w:ascii="Calibri" w:hAnsi="Calibri"/>
          <w:b w:val="0"/>
          <w:i w:val="0"/>
          <w:sz w:val="21"/>
        </w:rPr>
        <w:t>El modelo de Respuesta a la Intervención (RTI) propone tres niveles de apoyo de intensidad creciente: Tier 1 —instrucción diferenciada de calidad para toda la clase—, Tier 2 —intervenciones de pequeño grupo para los que no progresan suficientemente—, y Tier 3 —intervenciones individualizadas intensivas para los de mayores brechas. Este modelo es efectivo cuando los docentes disponen de datos de evaluación formativa frecuente que orientan decisiones sobre qué nivel de apoyo necesita cada estudiante.</w:t>
      </w:r>
    </w:p>
    <w:p>
      <w:pPr>
        <w:spacing w:before="60" w:after="80" w:line="360" w:lineRule="auto"/>
        <w:jc w:val="both"/>
      </w:pPr>
      <w:r>
        <w:rPr>
          <w:rFonts w:ascii="Calibri" w:hAnsi="Calibri"/>
          <w:b w:val="0"/>
          <w:i w:val="0"/>
          <w:sz w:val="21"/>
        </w:rPr>
        <w:t>El aprendizaje socioemocional (SEL, CASEL 2020) reconoce que el bienestar emocional del estudiante es condición necesaria —no complemento opcional— para que cualquier intervención académica sea efectiva. Los programas de SEL producen mejoras significativas en el rendimiento académico (tamaño de efecto promedio 0.57) además de sus beneficios directos sobre la regulación emocional y las habilidades sociales. En el contexto post-pandémico, ignorar la dimensión socioemocional equivale a construir el aprendizaje sobre cimientos inestables.</w:t>
      </w:r>
    </w:p>
    <w:p>
      <w:pPr>
        <w:spacing w:before="60" w:after="80" w:line="360" w:lineRule="auto"/>
        <w:jc w:val="both"/>
      </w:pPr>
      <w:r>
        <w:rPr>
          <w:rFonts w:ascii="Calibri" w:hAnsi="Calibri"/>
          <w:b w:val="0"/>
          <w:i w:val="0"/>
          <w:sz w:val="21"/>
        </w:rPr>
        <w:t>La evaluación para el aprendizaje (Assessment for Learning, Black &amp; Wiliam 2018) plantea que la evaluación formativa —información sobre el aprendizaje del estudiante durante el proceso— es la herramienta pedagógica de mayor impacto identificada por la investigación. El metaanálisis original encontró un tamaño de efecto de 0.40-0.70 desviaciones estándar, equivalente a 6-12 meses de aprendizaje adicional. Aplicada a la recuperación, permite ajustar la instrucción en tiempo real y proporcionar retroalimentación específica que activa el aprendizaje.</w:t>
      </w:r>
    </w:p>
    <w:p>
      <w:pPr>
        <w:spacing w:before="60" w:after="80" w:line="360" w:lineRule="auto"/>
        <w:jc w:val="both"/>
      </w:pPr>
      <w:r>
        <w:rPr>
          <w:rFonts w:ascii="Calibri" w:hAnsi="Calibri"/>
          <w:b w:val="0"/>
          <w:i w:val="0"/>
          <w:sz w:val="21"/>
        </w:rPr>
        <w:t>La pedagogía de la mastery learning (Bloom, 1968; Guskey, 2010) propone que prácticamente todos los estudiantes pueden alcanzar un nivel elevado de dominio si se les proporciona el tiempo y la instrucción adecuados. Las brechas de aprendizaje no son una característica permanente del estudiante sino consecuencia de condiciones pedagógicas insuficientes que pueden modificarse. Después de cada evaluación, los estudiantes sin dominio reciben instrucción correctiva diferenciada —no la misma que no funcionó— y una nueva oportunidad.</w:t>
      </w:r>
    </w:p>
    <w:p>
      <w:pPr>
        <w:spacing w:before="60" w:after="80" w:line="360" w:lineRule="auto"/>
        <w:jc w:val="both"/>
      </w:pPr>
      <w:r>
        <w:rPr>
          <w:rFonts w:ascii="Calibri" w:hAnsi="Calibri"/>
          <w:b w:val="0"/>
          <w:i w:val="0"/>
          <w:sz w:val="21"/>
        </w:rPr>
        <w:t>Los estudios de la Education Endowment Foundation (EEF, 2023) identificaron las intervenciones de mayor efectividad comprobada: retroalimentación correctiva de alta calidad (+8 meses de aprendizaje adicional), aprendizaje metacognitivo (+7 meses), tutorías de pequeño grupo (+5 meses), instrucción basada en evidencia (+4 meses) y aprendizaje colaborativo bien estructurado (+4 meses). Estas evidencias orientan claramente los esfuerzos de formación docente para la recuperación.</w:t>
      </w:r>
    </w:p>
    <w:p>
      <w:pPr>
        <w:spacing w:before="60" w:after="80" w:line="360" w:lineRule="auto"/>
        <w:jc w:val="both"/>
      </w:pPr>
      <w:r>
        <w:rPr>
          <w:rFonts w:ascii="Calibri" w:hAnsi="Calibri"/>
          <w:b w:val="0"/>
          <w:i w:val="0"/>
          <w:sz w:val="21"/>
        </w:rPr>
        <w:t>La equidad educativa es una dimensión transversal de cualquier programa de recuperación coherente con la justicia educativa. Los estudiantes que más necesitan recuperación —en pobreza, con necesidades educativas especiales, pertenecientes a comunidades indígenas— son generalmente quienes tienen menor acceso a programas de calidad. Una pedagogía de recuperación justa distribuye los recursos de manera inversamente proporcional a las ventajas que los estudiantes ya tienen.</w:t>
      </w:r>
    </w:p>
    <w:p>
      <w:pPr>
        <w:spacing w:before="60" w:after="80" w:line="360" w:lineRule="auto"/>
        <w:jc w:val="both"/>
      </w:pPr>
      <w:r>
        <w:rPr>
          <w:rFonts w:ascii="Calibri" w:hAnsi="Calibri"/>
          <w:b w:val="0"/>
          <w:i w:val="0"/>
          <w:sz w:val="21"/>
        </w:rPr>
        <w:t>La pertinencia de los enfoques internacionales debe evaluarse críticamente a la luz de las condiciones panameñas: la estructura curricular nacional, los recursos disponibles, el nivel de formación del cuerpo docente y las características culturales de las comunidades. La investigación internacional proporciona orientaciones valiosas pero no puede trasladarse mecánicamente sin un proceso de adaptación pedagógica que asegure su pertinencia local.</w:t>
      </w:r>
    </w:p>
    <w:p>
      <w:pPr>
        <w:spacing w:before="60" w:after="80" w:line="360" w:lineRule="auto"/>
        <w:jc w:val="both"/>
      </w:pPr>
      <w:r>
        <w:rPr>
          <w:rFonts w:ascii="Calibri" w:hAnsi="Calibri"/>
          <w:b w:val="0"/>
          <w:i w:val="0"/>
          <w:sz w:val="21"/>
        </w:rPr>
        <w:t>El modelo de impacto visible de Hattie (2023) ofrece el marco más comprehensivo para la toma de decisiones sobre intervenciones de recuperación: a través de la síntesis de más de 2,100 metaanálisis, identifica qué factores tienen mayor efecto sobre el aprendizaje y permite al docente priorizar las estrategias de mayor impacto comprobado en lugar de invertir tiempo y recursos en enfoques cuya efectividad es dudosa o marginal.</w:t>
      </w:r>
    </w:p>
    <w:p/>
    <w:p>
      <w:pPr>
        <w:keepNext/>
        <w:spacing w:before="240" w:after="100"/>
        <w:jc w:val="left"/>
      </w:pPr>
      <w:r>
        <w:rPr>
          <w:rFonts w:ascii="Calibri" w:hAnsi="Calibri"/>
          <w:b/>
          <w:color w:val="12265B"/>
          <w:sz w:val="26"/>
        </w:rPr>
        <w:t>Unidad 3: El currículo nacional panameño y la recuperación de aprendizajes</w:t>
      </w:r>
    </w:p>
    <w:p>
      <w:pPr>
        <w:spacing w:before="40" w:after="100" w:line="360" w:lineRule="auto"/>
        <w:jc w:val="both"/>
      </w:pPr>
      <w:r>
        <w:rPr>
          <w:rFonts w:ascii="Calibri" w:hAnsi="Calibri"/>
          <w:b w:val="0"/>
          <w:i/>
          <w:sz w:val="20"/>
        </w:rPr>
        <w:t>Objetivo: Analizar la estructura del currículo nacional e identificar las competencias fundamentales que sirven de referente para el diseño de intervenciones de recuperación. — Bloom: Analizar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currículo panameño se organiza en torno a principios pedagógicos establecidos en la Ley Orgánica de Educación (Ley 34 de 1995) y desarrollados en los programas de estudio de MEDUCA. Comprender la arquitectura curricular es prerequisito para el diseño de intervenciones de recuperación coherentes con los estándares nacionales: no puede recuperarse efectivamente lo que no se conoce con precisión qué debe aprenderse, en qué secuencia y con qué criterios se valora su logro.</w:t>
      </w:r>
    </w:p>
    <w:p>
      <w:pPr>
        <w:spacing w:before="60" w:after="80" w:line="360" w:lineRule="auto"/>
        <w:jc w:val="both"/>
      </w:pPr>
      <w:r>
        <w:rPr>
          <w:rFonts w:ascii="Calibri" w:hAnsi="Calibri"/>
          <w:b w:val="0"/>
          <w:i w:val="0"/>
          <w:sz w:val="21"/>
        </w:rPr>
        <w:t>El currículo panameño se estructura en tres niveles de concreción: el nivel macro —políticas educativas nacionales y competencias fundamentales definidas como aprendizajes irrenunciables—, el nivel meso —programas de estudio por grado y asignatura con indicadores de logro específicos—, y el nivel micro —el currículo implementado por el docente en el aula a través de sus planificaciones didácticas, materiales y estrategias de evaluación.</w:t>
      </w:r>
    </w:p>
    <w:p>
      <w:pPr>
        <w:spacing w:before="60" w:after="80" w:line="360" w:lineRule="auto"/>
        <w:jc w:val="both"/>
      </w:pPr>
      <w:r>
        <w:rPr>
          <w:rFonts w:ascii="Calibri" w:hAnsi="Calibri"/>
          <w:b w:val="0"/>
          <w:i w:val="0"/>
          <w:sz w:val="21"/>
        </w:rPr>
        <w:t>Las competencias fundamentales son aquellas cuyo logro es condición necesaria para el aprendizaje de todas las demás: sin ellas, el estudiante no puede acceder al currículo de manera autónoma y se queda progresivamente rezagado. La identificación precisa de estas competencias para cada nivel educativo es el punto de partida metodológico de todo plan de recuperación efectivo.</w:t>
      </w:r>
    </w:p>
    <w:p>
      <w:pPr>
        <w:spacing w:before="60" w:after="80" w:line="360" w:lineRule="auto"/>
        <w:jc w:val="both"/>
      </w:pPr>
      <w:r>
        <w:rPr>
          <w:rFonts w:ascii="Calibri" w:hAnsi="Calibri"/>
          <w:b w:val="0"/>
          <w:i w:val="0"/>
          <w:sz w:val="21"/>
        </w:rPr>
        <w:t>MEDUCA (Resolución 897 de 2024) ha identificado como competencias prioritarias para todos los niveles del sistema: la comprensión lectora, la expresión comunicativa, el razonamiento matemático y las competencias socioemocionales básicas. Esta selección refleja el consenso de la investigación educativa sobre cuáles son las capacidades con mayor poder de transferencia e impacto sobre el desarrollo integral del estudiante a lo largo de la vida.</w:t>
      </w:r>
    </w:p>
    <w:p>
      <w:pPr>
        <w:spacing w:before="60" w:after="80" w:line="360" w:lineRule="auto"/>
        <w:jc w:val="both"/>
      </w:pPr>
      <w:r>
        <w:rPr>
          <w:rFonts w:ascii="Calibri" w:hAnsi="Calibri"/>
          <w:b w:val="0"/>
          <w:i w:val="0"/>
          <w:sz w:val="21"/>
        </w:rPr>
        <w:t>Los indicadores de logro son la referencia técnica más precisa para determinar qué nivel de dominio debe alcanzar el estudiante al término de cada proceso de nivelación. Comprender la diferencia entre un objetivo general, un objetivo específico, un indicador de logro y un criterio de evaluación es fundamental para diseñar intervenciones verificablemente efectivas y no simplemente 'actividades de repaso' sin criterio de éxito claramente definido.</w:t>
      </w:r>
    </w:p>
    <w:p>
      <w:pPr>
        <w:spacing w:before="60" w:after="80" w:line="360" w:lineRule="auto"/>
        <w:jc w:val="both"/>
      </w:pPr>
      <w:r>
        <w:rPr>
          <w:rFonts w:ascii="Calibri" w:hAnsi="Calibri"/>
          <w:b w:val="0"/>
          <w:i w:val="0"/>
          <w:sz w:val="21"/>
        </w:rPr>
        <w:t>La tensión entre cobertura curricular y profundidad del aprendizaje es una de las más frecuentes en el diseño de intervenciones de recuperación. Los currículos sobrecargados que intentan cubrir una gran cantidad de contenidos sin suficiente tiempo producen aprendizaje superficial que no persiste. Las intervenciones más efectivas seleccionan con rigor las competencias prioritarias, reducen la cobertura de contenidos secundarios y dedican el tiempo liberado a consolidar los aprendizajes esenciales.</w:t>
      </w:r>
    </w:p>
    <w:p>
      <w:pPr>
        <w:spacing w:before="60" w:after="80" w:line="360" w:lineRule="auto"/>
        <w:jc w:val="both"/>
      </w:pPr>
      <w:r>
        <w:rPr>
          <w:rFonts w:ascii="Calibri" w:hAnsi="Calibri"/>
          <w:b w:val="0"/>
          <w:i w:val="0"/>
          <w:sz w:val="21"/>
        </w:rPr>
        <w:t>El alineamiento curricular entre estándares de aprendizaje, estrategias de enseñanza e instrumentos de evaluación es un principio técnico de primera importancia para la recuperación. Un plan bien alineado garantiza que lo que se enseña responde a las competencias identificadas como déficit en el diagnóstico, que las estrategias son adecuadas para desarrollar esas competencias específicas, y que los instrumentos permiten verificar de manera precisa si el estudiante alcanzó el nivel de dominio esperado.</w:t>
      </w:r>
    </w:p>
    <w:p>
      <w:pPr>
        <w:spacing w:before="60" w:after="80" w:line="360" w:lineRule="auto"/>
        <w:jc w:val="both"/>
      </w:pPr>
      <w:r>
        <w:rPr>
          <w:rFonts w:ascii="Calibri" w:hAnsi="Calibri"/>
          <w:b w:val="0"/>
          <w:i w:val="0"/>
          <w:sz w:val="21"/>
        </w:rPr>
        <w:t>La alineación vertical del currículo —la coherencia y progresión de los aprendizajes entre grados— tiene especial importancia porque muchas brechas en grados superiores tienen su origen en competencias no consolidadas en los grados anteriores. Identificar el punto de la cadena curricular donde se rompió la progresión del aprendizaje es la clave para diseñar intervenciones que ataquen la causa raíz del problema y no solo sus síntomas en el nivel actual.</w:t>
      </w:r>
    </w:p>
    <w:p>
      <w:pPr>
        <w:spacing w:before="60" w:after="80" w:line="360" w:lineRule="auto"/>
        <w:jc w:val="both"/>
      </w:pPr>
      <w:r>
        <w:rPr>
          <w:rFonts w:ascii="Calibri" w:hAnsi="Calibri"/>
          <w:b w:val="0"/>
          <w:i w:val="0"/>
          <w:sz w:val="21"/>
        </w:rPr>
        <w:t>La articulación horizontal del currículo —la coherencia entre los aprendizajes de las distintas asignaturas en un mismo grado— ofrece oportunidades para intervenciones integradas que abordan varias competencias simultáneamente. Los enfoques basados en proyectos ofrecen contextos de aprendizaje significativos que aumentan la motivación del estudiante y hacen más eficiente el tiempo dedicado a la recuperación.</w:t>
      </w:r>
    </w:p>
    <w:p>
      <w:pPr>
        <w:spacing w:before="60" w:after="80" w:line="360" w:lineRule="auto"/>
        <w:jc w:val="both"/>
      </w:pPr>
      <w:r>
        <w:rPr>
          <w:rFonts w:ascii="Calibri" w:hAnsi="Calibri"/>
          <w:b w:val="0"/>
          <w:i w:val="0"/>
          <w:sz w:val="21"/>
        </w:rPr>
        <w:t>La dimensión intercultural del currículo panameño merece atención especial en el diseño de programas de recuperación. Panamá cuenta con siete comarcas indígenas reconocidas donde el español no es la lengua materna de la mayoría de los estudiantes. Las intervenciones que ignoran la dimensión intercultural son pedagógicamente menos efectivas y éticamente problemáticas porque desconocen el capital cultural del estudiante como recurso para el aprendizaje.</w:t>
      </w:r>
    </w:p>
    <w:p>
      <w:pPr>
        <w:spacing w:before="60" w:after="80" w:line="360" w:lineRule="auto"/>
        <w:jc w:val="both"/>
      </w:pPr>
      <w:r>
        <w:rPr>
          <w:rFonts w:ascii="Calibri" w:hAnsi="Calibri"/>
          <w:b w:val="0"/>
          <w:i w:val="0"/>
          <w:sz w:val="21"/>
        </w:rPr>
        <w:t>La evaluación curricular institucional periódica es el mecanismo que permite identificar las brechas entre el currículo prescrito —lo que los programas de estudio dicen que debe aprenderse— y el currículo logrado —lo que los estudiantes efectivamente aprenden. Esta distancia es precisamente el espacio que los programas de recuperación deben abordar con precisión diagnóstica y voluntad pedagógica sostenida.</w:t>
      </w:r>
    </w:p>
    <w:p>
      <w:pPr>
        <w:spacing w:before="60" w:after="80" w:line="360" w:lineRule="auto"/>
        <w:jc w:val="both"/>
      </w:pPr>
      <w:r>
        <w:rPr>
          <w:rFonts w:ascii="Calibri" w:hAnsi="Calibri"/>
          <w:b w:val="0"/>
          <w:i w:val="0"/>
          <w:sz w:val="21"/>
        </w:rPr>
        <w:t>Los componentes transversales del currículo panameño —educación ambiental, educación para la salud, derechos humanos y formación ciudadana— deben estar presentes en cualquier intervención de recuperación, incluso en las que se enfocan principalmente en competencias académicas específicas. Esta integración transversal responde al principio educativo de la formación integral del estudiante como ciudadano responsable y comprometido con el desarrollo de su comunidad.</w:t>
      </w:r>
    </w:p>
    <w:p/>
    <w:p>
      <w:pPr>
        <w:keepNext/>
        <w:spacing w:before="240" w:after="100"/>
        <w:jc w:val="left"/>
      </w:pPr>
      <w:r>
        <w:rPr>
          <w:rFonts w:ascii="Calibri" w:hAnsi="Calibri"/>
          <w:b/>
          <w:color w:val="12265B"/>
          <w:sz w:val="26"/>
        </w:rPr>
        <w:t>Unidad 4: Ética y equidad en los programas de recuperación de aprendizajes</w:t>
      </w:r>
    </w:p>
    <w:p>
      <w:pPr>
        <w:spacing w:before="40" w:after="100" w:line="360" w:lineRule="auto"/>
        <w:jc w:val="both"/>
      </w:pPr>
      <w:r>
        <w:rPr>
          <w:rFonts w:ascii="Calibri" w:hAnsi="Calibri"/>
          <w:b w:val="0"/>
          <w:i/>
          <w:sz w:val="20"/>
        </w:rPr>
        <w:t>Objetivo: Reflexionar sobre los principios éticos que deben orientar los programas de recuperación, con énfasis en la equidad, la inclusión y el respeto a la dignidad de los estudiantes. — Bloom: Evaluar / Crear</w:t>
      </w:r>
    </w:p>
    <w:p>
      <w:pPr>
        <w:pBdr>
          <w:bottom w:val="single" w:sz="2" w:space="1" w:color="888888"/>
        </w:pBdr>
        <w:spacing w:before="40" w:after="40"/>
      </w:pPr>
    </w:p>
    <w:p>
      <w:pPr>
        <w:spacing w:before="60" w:after="80" w:line="360" w:lineRule="auto"/>
        <w:jc w:val="both"/>
      </w:pPr>
      <w:r>
        <w:rPr>
          <w:rFonts w:ascii="Calibri" w:hAnsi="Calibri"/>
          <w:b w:val="0"/>
          <w:i w:val="0"/>
          <w:sz w:val="21"/>
        </w:rPr>
        <w:t>La recuperación de aprendizajes es, antes que cualquier otra cosa, una práctica ética. Sus implicaciones abarcan el reconocimiento de la dignidad de cada aprendiz, la distribución justa de los recursos educativos, la responsabilidad institucional por las condiciones que generaron las brechas y la necesidad de que las intervenciones no reproduzcan dinámicas de exclusión históricas.</w:t>
      </w:r>
    </w:p>
    <w:p>
      <w:pPr>
        <w:spacing w:before="60" w:after="80" w:line="360" w:lineRule="auto"/>
        <w:jc w:val="both"/>
      </w:pPr>
      <w:r>
        <w:rPr>
          <w:rFonts w:ascii="Calibri" w:hAnsi="Calibri"/>
          <w:b w:val="0"/>
          <w:i w:val="0"/>
          <w:sz w:val="21"/>
        </w:rPr>
        <w:t>El primer principio ético es el reconocimiento de la dignidad del estudiante: el docente parte de una concepción del estudiante como persona integral —con historia, cultura, emociones y potencial— y no como un 'déficit' que debe corregirse. Las prácticas que estigmatizan al estudiante rezagado atentan contra su dignidad y producen el efecto contrario al buscado: aumentan la ansiedad, deterioran la autoestima académica y reducen la motivación.</w:t>
      </w:r>
    </w:p>
    <w:p>
      <w:pPr>
        <w:spacing w:before="60" w:after="80" w:line="360" w:lineRule="auto"/>
        <w:jc w:val="both"/>
      </w:pPr>
      <w:r>
        <w:rPr>
          <w:rFonts w:ascii="Calibri" w:hAnsi="Calibri"/>
          <w:b w:val="0"/>
          <w:i w:val="0"/>
          <w:sz w:val="21"/>
        </w:rPr>
        <w:t>El principio de equidad en el acceso a intervenciones de calidad exige que los recursos —tiempo del docente, materiales, apoyos tecnológicos— sean distribuidos de manera inversamente proporcional a las ventajas que los estudiantes ya tienen, concentrando los apoyos más intensivos donde las necesidades son más urgentes. Sin esta orientación explícita, los programas de recuperación terminan beneficiando a quienes ya tienen más recursos.</w:t>
      </w:r>
    </w:p>
    <w:p>
      <w:pPr>
        <w:spacing w:before="60" w:after="80" w:line="360" w:lineRule="auto"/>
        <w:jc w:val="both"/>
      </w:pPr>
      <w:r>
        <w:rPr>
          <w:rFonts w:ascii="Calibri" w:hAnsi="Calibri"/>
          <w:b w:val="0"/>
          <w:i w:val="0"/>
          <w:sz w:val="21"/>
        </w:rPr>
        <w:t>La responsabilidad institucional reconoce que las brechas de aprendizaje no son exclusivamente el resultado de carencias individuales de los estudiantes: son también el producto de decisiones institucionales sobre el currículo, la pedagogía y la distribución de recursos. Un centro que implementa recuperación sin cuestionar las prácticas estructurales que contribuyeron a generar las brechas está tratando los síntomas sin abordar la causa.</w:t>
      </w:r>
    </w:p>
    <w:p>
      <w:pPr>
        <w:spacing w:before="60" w:after="80" w:line="360" w:lineRule="auto"/>
        <w:jc w:val="both"/>
      </w:pPr>
      <w:r>
        <w:rPr>
          <w:rFonts w:ascii="Calibri" w:hAnsi="Calibri"/>
          <w:b w:val="0"/>
          <w:i w:val="0"/>
          <w:sz w:val="21"/>
        </w:rPr>
        <w:t>La participación de los estudiantes y sus familias en el diseño y evaluación del programa de recuperación es un principio ético fundamental: las intervenciones son más efectivas y más justas cuando los propios sujetos del aprendizaje tienen voz en la definición de los objetivos, los métodos y los criterios de evaluación. Esto significa diseñar mecanismos concretos para recoger y actuar sobre la perspectiva de los estudiantes.</w:t>
      </w:r>
    </w:p>
    <w:p>
      <w:pPr>
        <w:spacing w:before="60" w:after="80" w:line="360" w:lineRule="auto"/>
        <w:jc w:val="both"/>
      </w:pPr>
      <w:r>
        <w:rPr>
          <w:rFonts w:ascii="Calibri" w:hAnsi="Calibri"/>
          <w:b w:val="0"/>
          <w:i w:val="0"/>
          <w:sz w:val="21"/>
        </w:rPr>
        <w:t>La inclusión educativa —mandatada por la Ley 15 de 2016— es un principio ético transversal que impregna toda la práctica de la recuperación. Los programas de recuperación deben diseñarse desde el inicio para atender la diversidad del aula, con múltiples formas de acceso al contenido, expresión del aprendizaje y motivación, en coherencia con los principios del DUA (CAST, 2018).</w:t>
      </w:r>
    </w:p>
    <w:p>
      <w:pPr>
        <w:spacing w:before="60" w:after="80" w:line="360" w:lineRule="auto"/>
        <w:jc w:val="both"/>
      </w:pPr>
      <w:r>
        <w:rPr>
          <w:rFonts w:ascii="Calibri" w:hAnsi="Calibri"/>
          <w:b w:val="0"/>
          <w:i w:val="0"/>
          <w:sz w:val="21"/>
        </w:rPr>
        <w:t>La evaluación en el contexto de la recuperación debe ser siempre formativa, orientada al progreso, comunicada de manera constructiva y utilizada exclusivamente para apoyar el aprendizaje. Las prácticas evaluativas que categorizan a los estudiantes en 'aptos' e 'inaptos' o que publican resultados individuales en espacios compartidos son contrarias a los principios éticos de la recuperación.</w:t>
      </w:r>
    </w:p>
    <w:p>
      <w:pPr>
        <w:spacing w:before="60" w:after="80" w:line="360" w:lineRule="auto"/>
        <w:jc w:val="both"/>
      </w:pPr>
      <w:r>
        <w:rPr>
          <w:rFonts w:ascii="Calibri" w:hAnsi="Calibri"/>
          <w:b w:val="0"/>
          <w:i w:val="0"/>
          <w:sz w:val="21"/>
        </w:rPr>
        <w:t>El lenguaje del docente sobre los estudiantes en rezago es un indicador revelador de sus concepciones éticas subyacentes. La teoría de la mentalidad de crecimiento (Dweck, 2006) proporciona un marco alternativo al determinismo cognitivo: la inteligencia y las habilidades académicas se desarrollan con esfuerzo, estrategia y apoyo adecuado. El efecto Pigmalión (Rosenthal &amp; Jacobson, 1968) confirma que las expectativas del docente determinan en gran medida el rendimiento real del estudiante.</w:t>
      </w:r>
    </w:p>
    <w:p>
      <w:pPr>
        <w:spacing w:before="60" w:after="80" w:line="360" w:lineRule="auto"/>
        <w:jc w:val="both"/>
      </w:pPr>
      <w:r>
        <w:rPr>
          <w:rFonts w:ascii="Calibri" w:hAnsi="Calibri"/>
          <w:b w:val="0"/>
          <w:i w:val="0"/>
          <w:sz w:val="21"/>
        </w:rPr>
        <w:t>La perspectiva de género en los programas de recuperación requiere atención explícita. Los varones presentan mayores tasas de reprobación y deserción en todos los niveles, mientras que las mujeres enfrentan brechas específicas en matemáticas y ciencias que aumentan con la edad, posiblemente asociadas a estereotipos de género sobre las 'aptitudes naturales'. Los programas que no consideran estas diferencias perpetúan inequidades de consecuencias duraderas.</w:t>
      </w:r>
    </w:p>
    <w:p>
      <w:pPr>
        <w:spacing w:before="60" w:after="80" w:line="360" w:lineRule="auto"/>
        <w:jc w:val="both"/>
      </w:pPr>
      <w:r>
        <w:rPr>
          <w:rFonts w:ascii="Calibri" w:hAnsi="Calibri"/>
          <w:b w:val="0"/>
          <w:i w:val="0"/>
          <w:sz w:val="21"/>
        </w:rPr>
        <w:t>La ética de la recuperación implica reflexión honesta sobre los límites de lo que el docente puede lograr dentro de las restricciones estructurales del sistema: la responsabilidad debe distribuirse de manera justa. El docente es responsable de implementar las mejores prácticas disponibles dentro de sus condiciones actuales; el sistema educativo es responsable de crear las condiciones que le permitan hacerlo de manera efectiva.</w:t>
      </w:r>
    </w:p>
    <w:p>
      <w:pPr>
        <w:spacing w:before="60" w:after="80" w:line="360" w:lineRule="auto"/>
        <w:jc w:val="both"/>
      </w:pPr>
      <w:r>
        <w:rPr>
          <w:rFonts w:ascii="Calibri" w:hAnsi="Calibri"/>
          <w:b w:val="0"/>
          <w:i w:val="0"/>
          <w:sz w:val="21"/>
        </w:rPr>
        <w:t>La sostenibilidad ética de los programas de recuperación exige que sus efectos no se agoten en el período de implementación sino que dejen capacidades pedagógicas instaladas en la institución para responder a futuras situaciones de rezago de manera autónoma. El programa más transformador es el que construye en la institución la capacidad de detectar y atender el rezago en el futuro, antes de que se acumule al nivel de una crisis.</w:t>
      </w:r>
    </w:p>
    <w:p>
      <w:pPr>
        <w:spacing w:before="60" w:after="80" w:line="360" w:lineRule="auto"/>
        <w:jc w:val="both"/>
      </w:pPr>
      <w:r>
        <w:rPr>
          <w:rFonts w:ascii="Calibri" w:hAnsi="Calibri"/>
          <w:b w:val="0"/>
          <w:i w:val="0"/>
          <w:sz w:val="21"/>
        </w:rPr>
        <w:t>La perspectiva comunitaria reconoce que el aprendizaje de los estudiantes es una responsabilidad compartida entre la escuela, las familias, las organizaciones comunitarias y las instituciones del Estado. Un programa de recuperación éticamente sólido construye alianzas genuinas con la comunidad, reconoce los saberes y prácticas culturales locales como recursos pedagógicos valiosos y trabaja para reducir las brechas de oportunidad que están más allá del control del aula.</w:t>
      </w:r>
    </w:p>
    <w:p/>
    <w:p>
      <w:pPr>
        <w:keepNext/>
        <w:spacing w:before="240" w:after="100"/>
        <w:jc w:val="left"/>
      </w:pPr>
      <w:r>
        <w:rPr>
          <w:rFonts w:ascii="Calibri" w:hAnsi="Calibri"/>
          <w:b/>
          <w:color w:val="12265B"/>
          <w:sz w:val="26"/>
        </w:rPr>
        <w:t>Unidad 5: Perfil de competencias del docente de recuperación</w:t>
      </w:r>
    </w:p>
    <w:p>
      <w:pPr>
        <w:spacing w:before="40" w:after="100" w:line="360" w:lineRule="auto"/>
        <w:jc w:val="both"/>
      </w:pPr>
      <w:r>
        <w:rPr>
          <w:rFonts w:ascii="Calibri" w:hAnsi="Calibri"/>
          <w:b w:val="0"/>
          <w:i/>
          <w:sz w:val="20"/>
        </w:rPr>
        <w:t>Objetivo: Identificar el perfil de competencias del docente eficaz en recuperación y diseñar un plan personal de desarrollo profesional orientado a fortalecer sus capacidades pedagógicas.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El docente es el agente más poderoso de la recuperación de aprendizajes en el aula. El metaanálisis de Hattie (2023), síntesis de más de 2,100 estudios sobre los factores que inciden en el rendimiento escolar, identifica al docente —sus competencias, sus expectativas, su capacidad de retroalimentación— como el factor de mayor varianza dentro del control del sistema educativo.</w:t>
      </w:r>
    </w:p>
    <w:p>
      <w:pPr>
        <w:spacing w:before="60" w:after="80" w:line="360" w:lineRule="auto"/>
        <w:jc w:val="both"/>
      </w:pPr>
      <w:r>
        <w:rPr>
          <w:rFonts w:ascii="Calibri" w:hAnsi="Calibri"/>
          <w:b w:val="0"/>
          <w:i w:val="0"/>
          <w:sz w:val="21"/>
        </w:rPr>
        <w:t>El perfil de competencias del docente eficaz en recuperación integra cuatro grandes dimensiones: las competencias diagnósticas (identificar con precisión cuáles son las brechas, sus causas y el punto curricular de origen), las competencias pedagógicas diferenciadas (dominar un repertorio amplio de estrategias para presentar el mismo contenido de múltiples maneras), las competencias relacionales y socioemocionales (establecer relaciones de respeto, calidez y alta expectativa) y las competencias reflexivas (observarse como docente y ajustar la estrategia).</w:t>
      </w:r>
    </w:p>
    <w:p>
      <w:pPr>
        <w:spacing w:before="60" w:after="80" w:line="360" w:lineRule="auto"/>
        <w:jc w:val="both"/>
      </w:pPr>
      <w:r>
        <w:rPr>
          <w:rFonts w:ascii="Calibri" w:hAnsi="Calibri"/>
          <w:b w:val="0"/>
          <w:i w:val="0"/>
          <w:sz w:val="21"/>
        </w:rPr>
        <w:t>Las competencias diagnósticas son las que permiten identificar con precisión las brechas de aprendizaje de sus estudiantes, sus causas probables y el punto de la cadena curricular donde se originó el problema. Sin estas competencias, el docente interviene 'a ciegas', con estrategias genéricas que pueden o no responder a las necesidades reales del estudiante específico.</w:t>
      </w:r>
    </w:p>
    <w:p>
      <w:pPr>
        <w:spacing w:before="60" w:after="80" w:line="360" w:lineRule="auto"/>
        <w:jc w:val="both"/>
      </w:pPr>
      <w:r>
        <w:rPr>
          <w:rFonts w:ascii="Calibri" w:hAnsi="Calibri"/>
          <w:b w:val="0"/>
          <w:i w:val="0"/>
          <w:sz w:val="21"/>
        </w:rPr>
        <w:t>Las competencias pedagógicas diferenciadas incluyen el dominio de un repertorio amplio y flexible de estrategias para presentar el mismo contenido de múltiples maneras. La diferenciación no consiste en dar trabajos más fáciles: es diseñar experiencias cualitativamente distintas que respondan a los diferentes perfiles cognitivos, emocionales y culturales. Un docente que solo sabe enseñar de una manera tiene un repertorio pedagógico insuficiente para la complejidad de la recuperación.</w:t>
      </w:r>
    </w:p>
    <w:p>
      <w:pPr>
        <w:spacing w:before="60" w:after="80" w:line="360" w:lineRule="auto"/>
        <w:jc w:val="both"/>
      </w:pPr>
      <w:r>
        <w:rPr>
          <w:rFonts w:ascii="Calibri" w:hAnsi="Calibri"/>
          <w:b w:val="0"/>
          <w:i w:val="0"/>
          <w:sz w:val="21"/>
        </w:rPr>
        <w:t>La competencia de retroalimentación eficaz es la más estudiada de las competencias docentes. Hattie y Timperley (2007) demostraron que la retroalimentación sobre la tarea y sobre el proceso produce efectos muy positivos, mientras que la retroalimentación evaluativa general produce efectos nulos o negativos. El docente de recuperación debe dominar la retroalimentación de alta especificidad: señalar exactamente qué está mal, explicar por qué y orientar hacia la estrategia de corrección adecuada.</w:t>
      </w:r>
    </w:p>
    <w:p>
      <w:pPr>
        <w:spacing w:before="60" w:after="80" w:line="360" w:lineRule="auto"/>
        <w:jc w:val="both"/>
      </w:pPr>
      <w:r>
        <w:rPr>
          <w:rFonts w:ascii="Calibri" w:hAnsi="Calibri"/>
          <w:b w:val="0"/>
          <w:i w:val="0"/>
          <w:sz w:val="21"/>
        </w:rPr>
        <w:t>La planificación pedagógica diferenciada implica diseñar desde el inicio un entorno de aprendizaje con múltiples entradas, niveles de complejidad, formas de expresión y recursos, para que estudiantes con diferentes perfiles puedan acceder al mismo objetivo a través de caminos distintos. Esta competencia es exigente en tiempo de preparación pero produce resultados notablemente superiores a los de la planificación uniforme.</w:t>
      </w:r>
    </w:p>
    <w:p>
      <w:pPr>
        <w:spacing w:before="60" w:after="80" w:line="360" w:lineRule="auto"/>
        <w:jc w:val="both"/>
      </w:pPr>
      <w:r>
        <w:rPr>
          <w:rFonts w:ascii="Calibri" w:hAnsi="Calibri"/>
          <w:b w:val="0"/>
          <w:i w:val="0"/>
          <w:sz w:val="21"/>
        </w:rPr>
        <w:t>La gestión del tiempo pedagógico es fundamental en recuperación porque el tiempo es el recurso más escaso. La gestión eficaz implica priorizar con rigor las competencias fundamentales sobre los contenidos secundarios, utilizar estrategias de alta densidad de aprendizaje, reducir el tiempo dedicado a actividades de bajo valor pedagógico y maximizar el tiempo de aprendizaje activo del estudiante durante cada sesión.</w:t>
      </w:r>
    </w:p>
    <w:p>
      <w:pPr>
        <w:spacing w:before="60" w:after="80" w:line="360" w:lineRule="auto"/>
        <w:jc w:val="both"/>
      </w:pPr>
      <w:r>
        <w:rPr>
          <w:rFonts w:ascii="Calibri" w:hAnsi="Calibri"/>
          <w:b w:val="0"/>
          <w:i w:val="0"/>
          <w:sz w:val="21"/>
        </w:rPr>
        <w:t>Las competencias de trabajo colaborativo permiten al docente diseñar y gestionar actividades de aprendizaje cooperativo donde los estudiantes con mayor dominio apoyan a los que tienen menor dominio, en estructuras pedagógicas que benefician a ambos. La investigación sobre tutorías entre pares muestra efectos positivos consistentes tanto para tutores como para tutorados, con tamaños de efecto superiores a 0.50.</w:t>
      </w:r>
    </w:p>
    <w:p>
      <w:pPr>
        <w:spacing w:before="60" w:after="80" w:line="360" w:lineRule="auto"/>
        <w:jc w:val="both"/>
      </w:pPr>
      <w:r>
        <w:rPr>
          <w:rFonts w:ascii="Calibri" w:hAnsi="Calibri"/>
          <w:b w:val="0"/>
          <w:i w:val="0"/>
          <w:sz w:val="21"/>
        </w:rPr>
        <w:t>La reflexión sistemática sobre la propia práctica pedagógica es la metacompetencia que articula y potencia todas las demás. Sin reflexión crítica, incluso las competencias más sofisticadas se convierten en rutinas automáticas que no se cuestionan ni mejoran. El diario docente, la observación entre pares y las comunidades de práctica profesional son herramientas concretas para estructurar esta reflexión como motor de mejora continua.</w:t>
      </w:r>
    </w:p>
    <w:p>
      <w:pPr>
        <w:spacing w:before="60" w:after="80" w:line="360" w:lineRule="auto"/>
        <w:jc w:val="both"/>
      </w:pPr>
      <w:r>
        <w:rPr>
          <w:rFonts w:ascii="Calibri" w:hAnsi="Calibri"/>
          <w:b w:val="0"/>
          <w:i w:val="0"/>
          <w:sz w:val="21"/>
        </w:rPr>
        <w:t>Las expectativas del docente sobre el potencial de aprendizaje de sus estudiantes son uno de los factores de mayor impacto sobre el rendimiento en poblaciones vulnerables. El efecto Rosenthal (Rosenthal &amp; Jacobson, 1968) demuestra que cuando los docentes tienen altas expectativas y las comunican consistentemente, los estudiantes efectivamente rinden más. El docente de recuperación debe trabajar activamente sus propias creencias sobre qué pueden aprender los estudiantes en situación de rezago.</w:t>
      </w:r>
    </w:p>
    <w:p>
      <w:pPr>
        <w:spacing w:before="60" w:after="80" w:line="360" w:lineRule="auto"/>
        <w:jc w:val="both"/>
      </w:pPr>
      <w:r>
        <w:rPr>
          <w:rFonts w:ascii="Calibri" w:hAnsi="Calibri"/>
          <w:b w:val="0"/>
          <w:i w:val="0"/>
          <w:sz w:val="21"/>
        </w:rPr>
        <w:t>La competencia de articulación con las familias y la comunidad es frecuentemente descuidada pero de enorme relevancia práctica. Cuando las familias comprenden qué está trabajando el docente, qué pueden hacer en casa y por qué es importante el acompañamiento familiar, el efecto de la recuperación se multiplica significativamente. El docente que sabe comunicarse con las familias de manera accesible y orientada a la colaboración construye una red de apoyo que extiende el alcance del aprendizaje más allá de las horas de clase.</w:t>
      </w:r>
    </w:p>
    <w:p>
      <w:pPr>
        <w:spacing w:before="60" w:after="80" w:line="360" w:lineRule="auto"/>
        <w:jc w:val="both"/>
      </w:pPr>
      <w:r>
        <w:rPr>
          <w:rFonts w:ascii="Calibri" w:hAnsi="Calibri"/>
          <w:b w:val="0"/>
          <w:i w:val="0"/>
          <w:sz w:val="21"/>
        </w:rPr>
        <w:t>El desarrollo profesional es más efectivo cuando se produce en el contexto de la práctica real que cuando se limita a la formación teórica en talleres desconectados de la acción pedagógica cotidiana. La investigación sobre desarrollo profesional docente (Desimone, 2009) señala que las formaciones más efectivas combinan contenido teórico sólido con práctica reflexiva, retroalimentación de pares, aplicación en el aula y seguimiento sostenido en el tiempo.</w:t>
      </w:r>
    </w:p>
    <w:p/>
    <w:p>
      <w:pPr>
        <w:keepNext/>
        <w:spacing w:before="240" w:after="100"/>
        <w:jc w:val="left"/>
      </w:pPr>
      <w:r>
        <w:rPr>
          <w:rFonts w:ascii="Calibri" w:hAnsi="Calibri"/>
          <w:b/>
          <w:color w:val="12265B"/>
          <w:sz w:val="26"/>
        </w:rPr>
        <w:t>Unidad 6: Las TIC como herramientas de apoyo a la recuperación</w:t>
      </w:r>
    </w:p>
    <w:p>
      <w:pPr>
        <w:spacing w:before="40" w:after="100" w:line="360" w:lineRule="auto"/>
        <w:jc w:val="both"/>
      </w:pPr>
      <w:r>
        <w:rPr>
          <w:rFonts w:ascii="Calibri" w:hAnsi="Calibri"/>
          <w:b w:val="0"/>
          <w:i/>
          <w:sz w:val="20"/>
        </w:rPr>
        <w:t>Objetivo: Evaluar el potencial y las limitaciones de las TIC en la recuperación de aprendizajes, identificando recursos digitales pertinentes para el contexto panameño.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Las tecnologías de la información y la comunicación ofrecen posibilidades pedagógicas significativas para la recuperación de aprendizajes, pero su potencial solo se realiza cuando se integran de manera pedagógicamente fundamentada en estrategias de recuperación bien diseñadas. La pandemia puso en evidencia tanto el enorme potencial como las profundas limitaciones de la tecnología como vehículo de educación.</w:t>
      </w:r>
    </w:p>
    <w:p>
      <w:pPr>
        <w:spacing w:before="60" w:after="80" w:line="360" w:lineRule="auto"/>
        <w:jc w:val="both"/>
      </w:pPr>
      <w:r>
        <w:rPr>
          <w:rFonts w:ascii="Calibri" w:hAnsi="Calibri"/>
          <w:b w:val="0"/>
          <w:i w:val="0"/>
          <w:sz w:val="21"/>
        </w:rPr>
        <w:t>El primer principio para la integración de TIC en recuperación es que la tecnología debe estar al servicio de la pedagogía, y no al revés. La investigación educativa señala consistentemente que no son las herramientas tecnológicas en sí mismas las que producen aprendizaje, sino la manera en que son utilizadas pedagógicamente. Los mismos recursos digitales pueden producir efectos muy positivos o nulos dependiendo de la calidad de la estrategia pedagógica en que se insertan.</w:t>
      </w:r>
    </w:p>
    <w:p>
      <w:pPr>
        <w:spacing w:before="60" w:after="80" w:line="360" w:lineRule="auto"/>
        <w:jc w:val="both"/>
      </w:pPr>
      <w:r>
        <w:rPr>
          <w:rFonts w:ascii="Calibri" w:hAnsi="Calibri"/>
          <w:b w:val="0"/>
          <w:i w:val="0"/>
          <w:sz w:val="21"/>
        </w:rPr>
        <w:t>Las plataformas de aprendizaje adaptativo representan una de las aplicaciones más prometedoras en recuperación. Utilizan algoritmos para identificar en tiempo real el nivel de dominio del estudiante y ajustar automáticamente el nivel de dificultad al punto exacto de su zona de desarrollo próximo. Esta personalización automática puede producir efectos de aprendizaje significativos cuando los estudiantes tienen acceso regular y el docente integra los datos generados en sus decisiones pedagógicas cotidianas.</w:t>
      </w:r>
    </w:p>
    <w:p>
      <w:pPr>
        <w:spacing w:before="60" w:after="80" w:line="360" w:lineRule="auto"/>
        <w:jc w:val="both"/>
      </w:pPr>
      <w:r>
        <w:rPr>
          <w:rFonts w:ascii="Calibri" w:hAnsi="Calibri"/>
          <w:b w:val="0"/>
          <w:i w:val="0"/>
          <w:sz w:val="21"/>
        </w:rPr>
        <w:t>Solo el 58% de los hogares panameños con niños en edad escolar contaban con acceso a internet en 2021, cifra que cae al 23% en zonas rurales e indígenas (SENACYT, 2021). Esta brecha de conectividad hace que cualquier estrategia de recuperación que dependa críticamente del acceso domiciliar a internet excluirá precisamente a los estudiantes que más necesitan recuperación.</w:t>
      </w:r>
    </w:p>
    <w:p>
      <w:pPr>
        <w:spacing w:before="60" w:after="80" w:line="360" w:lineRule="auto"/>
        <w:jc w:val="both"/>
      </w:pPr>
      <w:r>
        <w:rPr>
          <w:rFonts w:ascii="Calibri" w:hAnsi="Calibri"/>
          <w:b w:val="0"/>
          <w:i w:val="0"/>
          <w:sz w:val="21"/>
        </w:rPr>
        <w:t>Las alternativas de bajo costo tecnológico y alta efectividad son especialmente relevantes para los contextos panameños con limitada conectividad: la radio educativa, los materiales impresos de alta calidad pedagógica, las comunidades de aprendizaje entre pares sin tecnología digital y las visitas domiciliarias de docentes de apoyo. La combinación inteligente de estrategias de alta y baja tecnología es el diseño más equitativo y efectivo para programas de recuperación a escala.</w:t>
      </w:r>
    </w:p>
    <w:p>
      <w:pPr>
        <w:spacing w:before="60" w:after="80" w:line="360" w:lineRule="auto"/>
        <w:jc w:val="both"/>
      </w:pPr>
      <w:r>
        <w:rPr>
          <w:rFonts w:ascii="Calibri" w:hAnsi="Calibri"/>
          <w:b w:val="0"/>
          <w:i w:val="0"/>
          <w:sz w:val="21"/>
        </w:rPr>
        <w:t>Los recursos educativos abiertos (REA) son de especial valor porque ponen a disposición de los docentes y estudiantes panameños materiales educativos de alta calidad de manera gratuita. Plataformas como Khan Academy en Español, Profe Social o Aprendo Primero de UNICEF ofrecen miles de lecciones y ejercicios interactivos que pueden utilizarse como complemento o componente central de los programas de recuperación.</w:t>
      </w:r>
    </w:p>
    <w:p>
      <w:pPr>
        <w:spacing w:before="60" w:after="80" w:line="360" w:lineRule="auto"/>
        <w:jc w:val="both"/>
      </w:pPr>
      <w:r>
        <w:rPr>
          <w:rFonts w:ascii="Calibri" w:hAnsi="Calibri"/>
          <w:b w:val="0"/>
          <w:i w:val="0"/>
          <w:sz w:val="21"/>
        </w:rPr>
        <w:t>La competencia digital del docente incluye no solo el manejo técnico de las herramientas sino también la capacidad pedagógica de decidir cuándo una herramienta tecnológica añade genuinamente valor y cuándo una estrategia sin tecnología sería más efectiva. Un docente con alta competencia digital pedagógica no es el que usa más tecnología sino el que usa la herramienta correcta para el objetivo correcto en el momento correcto.</w:t>
      </w:r>
    </w:p>
    <w:p>
      <w:pPr>
        <w:spacing w:before="60" w:after="80" w:line="360" w:lineRule="auto"/>
        <w:jc w:val="both"/>
      </w:pPr>
      <w:r>
        <w:rPr>
          <w:rFonts w:ascii="Calibri" w:hAnsi="Calibri"/>
          <w:b w:val="0"/>
          <w:i w:val="0"/>
          <w:sz w:val="21"/>
        </w:rPr>
        <w:t>Las plataformas de gestión del aprendizaje (LMS) como Canvas Student ofrecen funcionalidades especialmente valiosas para la recuperación: permiten organizar los recursos de manera estructurada, hacer seguimiento del progreso de cada estudiante, proporcionar retroalimentación asincrónica sobre las actividades y crear un espacio de comunicación continua con los estudiantes y sus familias.</w:t>
      </w:r>
    </w:p>
    <w:p>
      <w:pPr>
        <w:spacing w:before="60" w:after="80" w:line="360" w:lineRule="auto"/>
        <w:jc w:val="both"/>
      </w:pPr>
      <w:r>
        <w:rPr>
          <w:rFonts w:ascii="Calibri" w:hAnsi="Calibri"/>
          <w:b w:val="0"/>
          <w:i w:val="0"/>
          <w:sz w:val="21"/>
        </w:rPr>
        <w:t>La seguridad digital y la privacidad de los datos de los estudiantes son consideraciones éticas fundamentales en la integración de TIC. Las plataformas que recolectan datos sobre el comportamiento y el rendimiento de los estudiantes generan bases de datos sensibles que deben gestionarse con estricta confidencialidad. Los docentes tienen la responsabilidad de conocer las políticas de privacidad de las plataformas que utilizan.</w:t>
      </w:r>
    </w:p>
    <w:p>
      <w:pPr>
        <w:spacing w:before="60" w:after="80" w:line="360" w:lineRule="auto"/>
        <w:jc w:val="both"/>
      </w:pPr>
      <w:r>
        <w:rPr>
          <w:rFonts w:ascii="Calibri" w:hAnsi="Calibri"/>
          <w:b w:val="0"/>
          <w:i w:val="0"/>
          <w:sz w:val="21"/>
        </w:rPr>
        <w:t>La evaluación en línea permite aplicar diagnósticos de manera eficiente y obtener resultados inmediatos, pero no puede capturar el razonamiento verbal del estudiante, los procesos de pensamiento que lo llevaron a una respuesta ni las dimensiones creativas y relacionales del aprendizaje. La evaluación digital debe complementar, no reemplazar, las formas de evaluación cualitativa que permiten una comprensión más profunda del aprendizaje.</w:t>
      </w:r>
    </w:p>
    <w:p>
      <w:pPr>
        <w:spacing w:before="60" w:after="80" w:line="360" w:lineRule="auto"/>
        <w:jc w:val="both"/>
      </w:pPr>
      <w:r>
        <w:rPr>
          <w:rFonts w:ascii="Calibri" w:hAnsi="Calibri"/>
          <w:b w:val="0"/>
          <w:i w:val="0"/>
          <w:sz w:val="21"/>
        </w:rPr>
        <w:t>La colaboración entre docentes mediada por tecnología —comunidades de práctica virtual, grupos de mensajería profesional, repositorios compartidos de materiales de recuperación— multiplica el impacto de las capacidades individuales y construye el capital profesional colectivo del equipo docente. Las herramientas digitales de colaboración ofrecen posibilidades concretas para superar el aislamiento profesional del docente, especialmente en los contextos rurales e indígenas.</w:t>
      </w:r>
    </w:p>
    <w:p>
      <w:pPr>
        <w:spacing w:before="60" w:after="80" w:line="360" w:lineRule="auto"/>
        <w:jc w:val="both"/>
      </w:pPr>
      <w:r>
        <w:rPr>
          <w:rFonts w:ascii="Calibri" w:hAnsi="Calibri"/>
          <w:b w:val="0"/>
          <w:i w:val="0"/>
          <w:sz w:val="21"/>
        </w:rPr>
        <w:t>El diseño de materiales digitales pedagógicamente efectivos requiere la aplicación del principio multimedia de Mayer (2009): el aprendizaje es más efectivo cuando los materiales combinan texto e imágenes de manera coherente y complementaria, evitando la sobrecarga cognitiva producida por el exceso de información simultánea. Los docentes que crean sus propios materiales digitales se benefician enormemente del conocimiento de estos principios de diseño instruccional.</w:t>
      </w:r>
    </w:p>
    <w:p/>
    <w:p>
      <w:pPr>
        <w:keepNext/>
        <w:spacing w:before="240" w:after="100"/>
        <w:jc w:val="left"/>
      </w:pPr>
      <w:r>
        <w:rPr>
          <w:rFonts w:ascii="Calibri" w:hAnsi="Calibri"/>
          <w:b/>
          <w:color w:val="12265B"/>
          <w:sz w:val="26"/>
        </w:rPr>
        <w:t>Unidad 7: Participación familiar y comunitaria en la recuperación de aprendizajes</w:t>
      </w:r>
    </w:p>
    <w:p>
      <w:pPr>
        <w:spacing w:before="40" w:after="100" w:line="360" w:lineRule="auto"/>
        <w:jc w:val="both"/>
      </w:pPr>
      <w:r>
        <w:rPr>
          <w:rFonts w:ascii="Calibri" w:hAnsi="Calibri"/>
          <w:b w:val="0"/>
          <w:i/>
          <w:sz w:val="20"/>
        </w:rPr>
        <w:t>Objetivo: Diseñar estrategias de articulación efectiva entre la escuela, las familias y la comunidad para potenciar los programas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evidencia sobre la participación familiar en la educación es una de las más sólidas de la investigación: cuando las familias participan activamente y de manera informada en el proceso de aprendizaje de sus hijos, el rendimiento académico mejora significativamente, la tasa de asistencia aumenta y los efectos de los programas de recuperación se sostienen por más tiempo. El metaanálisis de Fan y Chen (2001) identificó un efecto promedio de 0.50 desviaciones estándar, equivalente a más de medio año de aprendizaje adicional.</w:t>
      </w:r>
    </w:p>
    <w:p>
      <w:pPr>
        <w:spacing w:before="60" w:after="80" w:line="360" w:lineRule="auto"/>
        <w:jc w:val="both"/>
      </w:pPr>
      <w:r>
        <w:rPr>
          <w:rFonts w:ascii="Calibri" w:hAnsi="Calibri"/>
          <w:b w:val="0"/>
          <w:i w:val="0"/>
          <w:sz w:val="21"/>
        </w:rPr>
        <w:t>La participación familiar en recuperación es frecuentemente mal conceptualizada: reducirla a la 'comunicación' de los resultados del diagnóstico sin orientación específica produce efectos modestos o incluso contraproducentes. La participación que produce efectos positivos proporciona a las familias información comprensible, herramientas concretas y una relación de confianza con el docente que las hace sentir aliadas del proceso y no simplemente receptoras de noticias preocupantes.</w:t>
      </w:r>
    </w:p>
    <w:p>
      <w:pPr>
        <w:spacing w:before="60" w:after="80" w:line="360" w:lineRule="auto"/>
        <w:jc w:val="both"/>
      </w:pPr>
      <w:r>
        <w:rPr>
          <w:rFonts w:ascii="Calibri" w:hAnsi="Calibri"/>
          <w:b w:val="0"/>
          <w:i w:val="0"/>
          <w:sz w:val="21"/>
        </w:rPr>
        <w:t>El modelo de Epstein (2001) propone seis tipos de participación familiar: crianza, comunicación bidireccional, voluntariado, aprendizaje en casa, toma de decisiones y colaboración con la comunidad. Para la recuperación, las dimensiones más relevantes son la comunicación bidireccional —donde las familias también aportan su conocimiento del estudiante— y el aprendizaje en casa —donde la familia comprende qué puede hacer concretamente para apoyar el proceso de recuperación.</w:t>
      </w:r>
    </w:p>
    <w:p>
      <w:pPr>
        <w:spacing w:before="60" w:after="80" w:line="360" w:lineRule="auto"/>
        <w:jc w:val="both"/>
      </w:pPr>
      <w:r>
        <w:rPr>
          <w:rFonts w:ascii="Calibri" w:hAnsi="Calibri"/>
          <w:b w:val="0"/>
          <w:i w:val="0"/>
          <w:sz w:val="21"/>
        </w:rPr>
        <w:t>Las barreras para la participación familiar son múltiples y deben abordarse explícitamente: barreras económicas (horarios laborales, costo del transporte), barreras educativas (nivel de escolaridad bajo, miedo de los padres a ser juzgados por su propia historia de fracaso escolar) y barreras culturales y lingüísticas (especialmente relevantes en comunidades indígenas y migrantes).</w:t>
      </w:r>
    </w:p>
    <w:p>
      <w:pPr>
        <w:spacing w:before="60" w:after="80" w:line="360" w:lineRule="auto"/>
        <w:jc w:val="both"/>
      </w:pPr>
      <w:r>
        <w:rPr>
          <w:rFonts w:ascii="Calibri" w:hAnsi="Calibri"/>
          <w:b w:val="0"/>
          <w:i w:val="0"/>
          <w:sz w:val="21"/>
        </w:rPr>
        <w:t>Las estrategias más efectivas para superar las barreras incluyen: diversificación de los canales y momentos de comunicación (mensajes de WhatsApp, notas en el cuaderno, llamadas telefónicas, visitas domiciliarias), adaptación del lenguaje a la comprensión de las familias, reconocimiento explícito de los conocimientos de las familias como recursos valiosos para el aprendizaje, y organización de actividades en horarios y formatos accesibles para las familias trabajadoras.</w:t>
      </w:r>
    </w:p>
    <w:p>
      <w:pPr>
        <w:spacing w:before="60" w:after="80" w:line="360" w:lineRule="auto"/>
        <w:jc w:val="both"/>
      </w:pPr>
      <w:r>
        <w:rPr>
          <w:rFonts w:ascii="Calibri" w:hAnsi="Calibri"/>
          <w:b w:val="0"/>
          <w:i w:val="0"/>
          <w:sz w:val="21"/>
        </w:rPr>
        <w:t>Las visitas domiciliarias de los docentes son una de las estrategias de articulación familia-escuela de mayor potencial en recuperación, especialmente para los estudiantes con mayor rezago y menor participación familiar en la vida escolar. La visita domiciliaria permite al docente conocer el contexto real del estudiante —condiciones habitacionales, dinámica familiar, recursos disponibles para el estudio, posibles factores de estrés— y ajustar sus estrategias en función de ese conocimiento.</w:t>
      </w:r>
    </w:p>
    <w:p>
      <w:pPr>
        <w:spacing w:before="60" w:after="80" w:line="360" w:lineRule="auto"/>
        <w:jc w:val="both"/>
      </w:pPr>
      <w:r>
        <w:rPr>
          <w:rFonts w:ascii="Calibri" w:hAnsi="Calibri"/>
          <w:b w:val="0"/>
          <w:i w:val="0"/>
          <w:sz w:val="21"/>
        </w:rPr>
        <w:t>Los 'talleres de familias' son sesiones breves —de una a dos horas— en las que el docente invita a las familias a participar activamente en una experiencia de aprendizaje que les enseña cómo apoyar en casa el proceso de recuperación de su hijo. En lugar de explicar verbalmente qué deben hacer, el taller lleva a los padres a vivir la experiencia pedagógica desde la perspectiva del estudiante, aumentando significativamente su confianza y efectividad como aliados del proceso.</w:t>
      </w:r>
    </w:p>
    <w:p>
      <w:pPr>
        <w:spacing w:before="60" w:after="80" w:line="360" w:lineRule="auto"/>
        <w:jc w:val="both"/>
      </w:pPr>
      <w:r>
        <w:rPr>
          <w:rFonts w:ascii="Calibri" w:hAnsi="Calibri"/>
          <w:b w:val="0"/>
          <w:i w:val="0"/>
          <w:sz w:val="21"/>
        </w:rPr>
        <w:t>La comunidad —organizaciones sociales, religiosas, deportivas y culturales del entorno del centro educativo— constituye un recurso pedagógico frecuentemente infrautilizado en los programas de recuperación. Los espacios comunitarios pueden convertirse en entornos de aprendizaje extendido donde los estudiantes reciben apoyo académico de manera informal pero pedagógicamente orientada por el docente.</w:t>
      </w:r>
    </w:p>
    <w:p>
      <w:pPr>
        <w:spacing w:before="60" w:after="80" w:line="360" w:lineRule="auto"/>
        <w:jc w:val="both"/>
      </w:pPr>
      <w:r>
        <w:rPr>
          <w:rFonts w:ascii="Calibri" w:hAnsi="Calibri"/>
          <w:b w:val="0"/>
          <w:i w:val="0"/>
          <w:sz w:val="21"/>
        </w:rPr>
        <w:t>Las tareas de recuperación para hacer en familia deben ser: coherentes con los objetivos del plan individual del estudiante, realizables con apoyo de cualquier adulto aunque no tenga estudios académicos avanzados, conectadas con el contexto cotidiano de la familia, y suficientemente cortas y claras para no generar angustia ni conflicto. Las tareas que consisten en reproducir en casa lo que no se hizo en clase tienen una eficacia limitada y generan tensión familiar cuando los padres no tienen competencias académicas para ayudar.</w:t>
      </w:r>
    </w:p>
    <w:p>
      <w:pPr>
        <w:spacing w:before="60" w:after="80" w:line="360" w:lineRule="auto"/>
        <w:jc w:val="both"/>
      </w:pPr>
      <w:r>
        <w:rPr>
          <w:rFonts w:ascii="Calibri" w:hAnsi="Calibri"/>
          <w:b w:val="0"/>
          <w:i w:val="0"/>
          <w:sz w:val="21"/>
        </w:rPr>
        <w:t>La perspectiva de la educación comunitaria reconoce que los saberes y prácticas culturales de la comunidad son recursos pedagógicos de enorme valor para la recuperación, especialmente cuando las brechas están asociadas a la desconexión entre el currículo escolar y el contexto cultural del estudiante. La integración de los conocimientos ancestrales no solo hace el aprendizaje más significativo: también comunica a la comunidad que la escuela respeta y valora su cultura, fortaleciendo la alianza familia-escuela.</w:t>
      </w:r>
    </w:p>
    <w:p>
      <w:pPr>
        <w:spacing w:before="60" w:after="80" w:line="360" w:lineRule="auto"/>
        <w:jc w:val="both"/>
      </w:pPr>
      <w:r>
        <w:rPr>
          <w:rFonts w:ascii="Calibri" w:hAnsi="Calibri"/>
          <w:b w:val="0"/>
          <w:i w:val="0"/>
          <w:sz w:val="21"/>
        </w:rPr>
        <w:t>La evaluación de la participación familiar en recuperación debe ir más allá del conteo de asistentes a las reuniones: debe considerar la calidad de la participación —¿comprenden los padres qué está trabajando el docente y por qué?—, la equidad de la participación —¿están llegando las estrategias a las familias con mayor necesidad de apoyo?—, y los efectos sobre el aprendizaje del estudiante. Responder estas preguntas exige mecanismos simples pero sistemáticos de monitoreo.</w:t>
      </w:r>
    </w:p>
    <w:p>
      <w:pPr>
        <w:spacing w:before="60" w:after="80" w:line="360" w:lineRule="auto"/>
        <w:jc w:val="both"/>
      </w:pPr>
      <w:r>
        <w:rPr>
          <w:rFonts w:ascii="Calibri" w:hAnsi="Calibri"/>
          <w:b w:val="0"/>
          <w:i w:val="0"/>
          <w:sz w:val="21"/>
        </w:rPr>
        <w:t>La sostenibilidad de la articulación familia-escuela en recuperación requiere concebirla como componente permanente de la cultura institucional del centro educativo, y no como estrategia puntual asociada al período post-pandémico. Los centros que construyen relaciones de confianza y colaboración con sus comunidades de manera sostenida crean condiciones institucionales que hacen mucho más efectivos los programas de recuperación cuando son necesarios.</w:t>
      </w:r>
    </w:p>
    <w:p/>
    <w:p>
      <w:pPr>
        <w:keepNext/>
        <w:spacing w:before="240" w:after="100"/>
        <w:jc w:val="left"/>
      </w:pPr>
      <w:r>
        <w:rPr>
          <w:rFonts w:ascii="Calibri" w:hAnsi="Calibri"/>
          <w:b/>
          <w:color w:val="12265B"/>
          <w:sz w:val="26"/>
        </w:rPr>
        <w:t>Unidad 8: Investigación-acción docente aplicada a la recuperación</w:t>
      </w:r>
    </w:p>
    <w:p>
      <w:pPr>
        <w:spacing w:before="40" w:after="100" w:line="360" w:lineRule="auto"/>
        <w:jc w:val="both"/>
      </w:pPr>
      <w:r>
        <w:rPr>
          <w:rFonts w:ascii="Calibri" w:hAnsi="Calibri"/>
          <w:b w:val="0"/>
          <w:i/>
          <w:sz w:val="20"/>
        </w:rPr>
        <w:t>Objetivo: Aplicar los principios de la investigación-acción a la práctica pedagógica de la recuperación, diseñando un ciclo básico de indagación sobre un problema de aprendizaje específico del propio contexto educativo.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es la metodología de producción de conocimiento pedagógico más pertinente para los docentes en ejercicio porque parte de los problemas reales del aula y produce conocimiento directamente aplicable a la práctica cotidiana. A diferencia de la investigación académica convencional, la investigación-acción docente (Kemmis &amp; McTaggart, 1988) tiene como propósito mejorar una situación educativa específica a través de un ciclo de planificación, acción, observación y reflexión que se repite iterativamente hasta que el problema es suficientemente comprendido y transformado.</w:t>
      </w:r>
    </w:p>
    <w:p>
      <w:pPr>
        <w:spacing w:before="60" w:after="80" w:line="360" w:lineRule="auto"/>
        <w:jc w:val="both"/>
      </w:pPr>
      <w:r>
        <w:rPr>
          <w:rFonts w:ascii="Calibri" w:hAnsi="Calibri"/>
          <w:b w:val="0"/>
          <w:i w:val="0"/>
          <w:sz w:val="21"/>
        </w:rPr>
        <w:t>El ciclo de la investigación-acción tiene cuatro fases. La planificación comienza con la identificación de un problema pedagógico específico y bien delimitado: no 'mis estudiantes tienen muchas brechas', sino 'el 60% de mis estudiantes de quinto grado no puede sustraer con reagrupación de manera autónoma después de seis semanas de instrucción'. La delimitación precisa del problema es la condición para que las demás fases produzcan información útil.</w:t>
      </w:r>
    </w:p>
    <w:p>
      <w:pPr>
        <w:spacing w:before="60" w:after="80" w:line="360" w:lineRule="auto"/>
        <w:jc w:val="both"/>
      </w:pPr>
      <w:r>
        <w:rPr>
          <w:rFonts w:ascii="Calibri" w:hAnsi="Calibri"/>
          <w:b w:val="0"/>
          <w:i w:val="0"/>
          <w:sz w:val="21"/>
        </w:rPr>
        <w:t>La fase de acción consiste en el diseño e implementación de una intervención específicamente orientada a resolver el problema identificado, basada en la revisión de las estrategias que la evidencia pedagógica señala como más efectivas para ese tipo específico de problema de aprendizaje. La investigación-acción no es investigación de 'sentido común': exige que el docente consulte la evidencia disponible antes de diseñar su intervención.</w:t>
      </w:r>
    </w:p>
    <w:p>
      <w:pPr>
        <w:spacing w:before="60" w:after="80" w:line="360" w:lineRule="auto"/>
        <w:jc w:val="both"/>
      </w:pPr>
      <w:r>
        <w:rPr>
          <w:rFonts w:ascii="Calibri" w:hAnsi="Calibri"/>
          <w:b w:val="0"/>
          <w:i w:val="0"/>
          <w:sz w:val="21"/>
        </w:rPr>
        <w:t>La fase de observación consiste en la recogida sistemática de datos sobre los efectos de la intervención: datos cuantitativos —resultados de evaluaciones formativas antes y después de la intervención— y datos cualitativos —observaciones del comportamiento, registros del diario docente, producciones de los estudiantes, entrevistas breves sobre cómo viven la experiencia. La combinación de ambos tipos proporciona una imagen más completa y útil.</w:t>
      </w:r>
    </w:p>
    <w:p>
      <w:pPr>
        <w:spacing w:before="60" w:after="80" w:line="360" w:lineRule="auto"/>
        <w:jc w:val="both"/>
      </w:pPr>
      <w:r>
        <w:rPr>
          <w:rFonts w:ascii="Calibri" w:hAnsi="Calibri"/>
          <w:b w:val="0"/>
          <w:i w:val="0"/>
          <w:sz w:val="21"/>
        </w:rPr>
        <w:t>La reflexión es el corazón de la investigación-acción: implica analizar sistemáticamente los datos recogidos para responder: ¿funcionó la intervención? ¿Para cuáles estudiantes funcionó y para cuáles no? ¿Por qué? ¿Qué debo modificar para el siguiente ciclo? ¿Qué aprendí sobre el proceso de aprendizaje de este grupo que no sabía antes? Esta reflexión busca explicaciones informadas por la evidencia recogida y por los referentes teóricos.</w:t>
      </w:r>
    </w:p>
    <w:p>
      <w:pPr>
        <w:spacing w:before="60" w:after="80" w:line="360" w:lineRule="auto"/>
        <w:jc w:val="both"/>
      </w:pPr>
      <w:r>
        <w:rPr>
          <w:rFonts w:ascii="Calibri" w:hAnsi="Calibri"/>
          <w:b w:val="0"/>
          <w:i w:val="0"/>
          <w:sz w:val="21"/>
        </w:rPr>
        <w:t>El portafolio docente de investigación-acción documenta los ciclos a lo largo del tiempo, construyendo un archivo de conocimiento pedagógico local que es simultáneamente evidencia de desarrollo profesional y recurso invaluable para la colaboración con otros docentes. Un portafolio bien organizado contiene: el problema identificado, el diagnóstico inicial, la intervención implementada, los datos recogidos, el análisis reflexivo y las conclusiones que orientarán el siguiente ciclo.</w:t>
      </w:r>
    </w:p>
    <w:p>
      <w:pPr>
        <w:spacing w:before="60" w:after="80" w:line="360" w:lineRule="auto"/>
        <w:jc w:val="both"/>
      </w:pPr>
      <w:r>
        <w:rPr>
          <w:rFonts w:ascii="Calibri" w:hAnsi="Calibri"/>
          <w:b w:val="0"/>
          <w:i w:val="0"/>
          <w:sz w:val="21"/>
        </w:rPr>
        <w:t>La investigación-acción colaborativa es una modalidad especialmente potente: en lugar de que cada docente investigue individualmente, un equipo investiga colectivamente un problema común, compartiendo los datos, reflexionando conjuntamente sobre los resultados y diseñando colectivamente las intervenciones del siguiente ciclo. Las comunidades de aprendizaje profesional docente (PLCs) son la estructura institucional que mejor favorece esta modalidad dentro de los centros educativos.</w:t>
      </w:r>
    </w:p>
    <w:p>
      <w:pPr>
        <w:spacing w:before="60" w:after="80" w:line="360" w:lineRule="auto"/>
        <w:jc w:val="both"/>
      </w:pPr>
      <w:r>
        <w:rPr>
          <w:rFonts w:ascii="Calibri" w:hAnsi="Calibri"/>
          <w:b w:val="0"/>
          <w:i w:val="0"/>
          <w:sz w:val="21"/>
        </w:rPr>
        <w:t>La investigación-acción en recuperación de aprendizajes debe considerar la dimensión ética de la investigación con menores de edad. Aunque no requiere los procedimientos formales de la investigación académica convencional, sí exige que el docente mantenga la confidencialidad de los datos individuales de sus estudiantes, que no los utilice para propósitos distintos a la mejora del aprendizaje, y que oriente sus intervenciones siempre hacia el beneficio de los estudiantes participantes.</w:t>
      </w:r>
    </w:p>
    <w:p>
      <w:pPr>
        <w:spacing w:before="60" w:after="80" w:line="360" w:lineRule="auto"/>
        <w:jc w:val="both"/>
      </w:pPr>
      <w:r>
        <w:rPr>
          <w:rFonts w:ascii="Calibri" w:hAnsi="Calibri"/>
          <w:b w:val="0"/>
          <w:i w:val="0"/>
          <w:sz w:val="21"/>
        </w:rPr>
        <w:t>La triangulación de fuentes de datos aumenta la confiabilidad de las conclusiones: el docente no basa sus conclusiones en un único tipo de evidencia sino que contrasta la evidencia de las pruebas escritas con la observación del comportamiento durante las actividades, las producciones escritas y gráficas, las respuestas orales durante las discusiones en clase y los reportes de otros docentes que trabajan con el mismo estudiante.</w:t>
      </w:r>
    </w:p>
    <w:p>
      <w:pPr>
        <w:spacing w:before="60" w:after="80" w:line="360" w:lineRule="auto"/>
        <w:jc w:val="both"/>
      </w:pPr>
      <w:r>
        <w:rPr>
          <w:rFonts w:ascii="Calibri" w:hAnsi="Calibri"/>
          <w:b w:val="0"/>
          <w:i w:val="0"/>
          <w:sz w:val="21"/>
        </w:rPr>
        <w:t>La difusión del conocimiento producido por la investigación-acción amplifica su impacto: presentar los resultados en reuniones del centro educativo, escribir notas pedagógicas para foros de docentes, compartir los materiales desarrollados en repositorios de recursos abiertos. Esta práctica no solo beneficia a la comunidad docente sino que también contribuye al reconocimiento del docente como productor de conocimiento pedagógico y no solo como consumidor de las investigaciones producidas por académicos externos.</w:t>
      </w:r>
    </w:p>
    <w:p>
      <w:pPr>
        <w:spacing w:before="60" w:after="80" w:line="360" w:lineRule="auto"/>
        <w:jc w:val="both"/>
      </w:pPr>
      <w:r>
        <w:rPr>
          <w:rFonts w:ascii="Calibri" w:hAnsi="Calibri"/>
          <w:b w:val="0"/>
          <w:i w:val="0"/>
          <w:sz w:val="21"/>
        </w:rPr>
        <w:t>El conocimiento pedagógico local producido por la investigación-acción en las aulas panameñas tiene el potencial de construir un corpus valioso para el sistema educativo: conocimiento sobre qué estrategias funcionan con qué tipos de estudiantes en qué contextos específicos, con la riqueza de las particularidades culturales, lingüísticas y geográficas de Panamá. CERPA aspira a que este Diplomado genere una comunidad de docentes-investigadores que continúe produciendo y compartiendo este conocimiento mucho más allá de la duración del programa.</w:t>
      </w:r>
    </w:p>
    <w:p>
      <w:pPr>
        <w:spacing w:before="60" w:after="80" w:line="360" w:lineRule="auto"/>
        <w:jc w:val="both"/>
      </w:pPr>
      <w:r>
        <w:rPr>
          <w:rFonts w:ascii="Calibri" w:hAnsi="Calibri"/>
          <w:b w:val="0"/>
          <w:i w:val="0"/>
          <w:sz w:val="21"/>
        </w:rPr>
        <w:t>El diseño de un proyecto de investigación-acción orientado a la recuperación de aprendizajes en el propio contexto educativo del participante constituye el proyecto integrador del Módulo 1 de este Diplomado. Este proyecto acompañará al participante a lo largo de todos los módulos, enriqueciéndose progresivamente con los aportes conceptuales y metodológicos de cada unidad. El resultado final será un ciclo completo de investigación-acción sobre la recuperación en el contexto educativo específico del participante.</w:t>
      </w:r>
    </w:p>
    <w:p/>
    <w:p>
      <w:pPr>
        <w:keepNext/>
        <w:spacing w:before="240" w:after="100"/>
        <w:jc w:val="left"/>
      </w:pPr>
      <w:r>
        <w:rPr>
          <w:rFonts w:ascii="Calibri" w:hAnsi="Calibri"/>
          <w:b/>
          <w:color w:val="12265B"/>
          <w:sz w:val="26"/>
        </w:rPr>
        <w:t>Unidad 9: Políticas educativas nacionales e internacionales de recuperación de aprendizajes</w:t>
      </w:r>
    </w:p>
    <w:p>
      <w:pPr>
        <w:spacing w:before="40" w:after="100" w:line="360" w:lineRule="auto"/>
        <w:jc w:val="both"/>
      </w:pPr>
      <w:r>
        <w:rPr>
          <w:rFonts w:ascii="Calibri" w:hAnsi="Calibri"/>
          <w:b w:val="0"/>
          <w:i/>
          <w:sz w:val="20"/>
        </w:rPr>
        <w:t>Objetivo: Analizar las políticas educativas más relevantes para la recuperación en Panamá, evaluando su coherencia con los fundamentos teóricos estudiados y su viabilidad en el contexto educativo panameño.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Las políticas educativas son las decisiones que los Estados toman sobre qué se enseña en las escuelas, cómo se organiza el sistema educativo, cómo se forman los docentes y cómo se evalúan los aprendizajes. Estas decisiones no son neutrales: reflejan concepciones sobre qué tipo de ciudadano y sociedad se quiere construir. Analizar las políticas educativas de recuperación desde una perspectiva crítica e informada es una competencia fundamental del docente-ciudadano.</w:t>
      </w:r>
    </w:p>
    <w:p>
      <w:pPr>
        <w:spacing w:before="60" w:after="80" w:line="360" w:lineRule="auto"/>
        <w:jc w:val="both"/>
      </w:pPr>
      <w:r>
        <w:rPr>
          <w:rFonts w:ascii="Calibri" w:hAnsi="Calibri"/>
          <w:b w:val="0"/>
          <w:i w:val="0"/>
          <w:sz w:val="21"/>
        </w:rPr>
        <w:t>El Marco de Acción de Educación 2030 (UNESCO, 2015) y el Objetivo de Desarrollo Sostenible 4 (ODS4) establecen como meta global garantizar una educación inclusiva, equitativa y de calidad. El ODS4 incluye indicadores específicos sobre la calidad de los aprendizajes —no solo sobre el acceso y la permanencia— que hacen de la recuperación una obligación internacional de todos los Estados signatarios, incluida Panamá.</w:t>
      </w:r>
    </w:p>
    <w:p>
      <w:pPr>
        <w:spacing w:before="60" w:after="80" w:line="360" w:lineRule="auto"/>
        <w:jc w:val="both"/>
      </w:pPr>
      <w:r>
        <w:rPr>
          <w:rFonts w:ascii="Calibri" w:hAnsi="Calibri"/>
          <w:b w:val="0"/>
          <w:i w:val="0"/>
          <w:sz w:val="21"/>
        </w:rPr>
        <w:t>La Declaración de Lima sobre Recuperación de Aprendizajes (UNESCO-OREALC, 2022) estableció compromisos regionales para implementar planes nacionales que incluyan: diagnóstico preciso de las brechas, intervenciones pedagógicas diferenciadas, fortalecimiento de la formación docente, participación de las familias y comunidades, y monitoreo sistemático. Panamá fue uno de los países signatarios de esta declaración.</w:t>
      </w:r>
    </w:p>
    <w:p>
      <w:pPr>
        <w:spacing w:before="60" w:after="80" w:line="360" w:lineRule="auto"/>
        <w:jc w:val="both"/>
      </w:pPr>
      <w:r>
        <w:rPr>
          <w:rFonts w:ascii="Calibri" w:hAnsi="Calibri"/>
          <w:b w:val="0"/>
          <w:i w:val="0"/>
          <w:sz w:val="21"/>
        </w:rPr>
        <w:t>La política educativa panameña de recuperación se estructura en torno a cuatro instrumentos principales: el Plan Estratégico de Educación 2022-2026, el Plan Nacional de Recuperación de Aprendizajes (Resolución 1234 de 2022), las Resoluciones Ministeriales de alcance específico (Resoluciones 489 de 2022 y 897 de 2024) y los Protocolos de Atención a Estudiantes en Riesgo de Rezago (Resolución 2456 de 2023).</w:t>
      </w:r>
    </w:p>
    <w:p>
      <w:pPr>
        <w:spacing w:before="60" w:after="80" w:line="360" w:lineRule="auto"/>
        <w:jc w:val="both"/>
      </w:pPr>
      <w:r>
        <w:rPr>
          <w:rFonts w:ascii="Calibri" w:hAnsi="Calibri"/>
          <w:b w:val="0"/>
          <w:i w:val="0"/>
          <w:sz w:val="21"/>
        </w:rPr>
        <w:t>Una de las tensiones más frecuentes en las políticas de recuperación es la que existe entre la urgencia política —la presión para mostrar resultados a corto plazo— y la complejidad pedagógica —el hecho de que los procesos de aprendizaje significativo requieren tiempo y condiciones que no pueden acelerarse indefinidamente sin comprometer la calidad. Los programas que prometen resultados espectaculares en períodos muy cortos suelen producir intervenciones superficiales que mejoran los resultados en pruebas estandarizadas sin generar aprendizaje duradero.</w:t>
      </w:r>
    </w:p>
    <w:p>
      <w:pPr>
        <w:spacing w:before="60" w:after="80" w:line="360" w:lineRule="auto"/>
        <w:jc w:val="both"/>
      </w:pPr>
      <w:r>
        <w:rPr>
          <w:rFonts w:ascii="Calibri" w:hAnsi="Calibri"/>
          <w:b w:val="0"/>
          <w:i w:val="0"/>
          <w:sz w:val="21"/>
        </w:rPr>
        <w:t>La política de educación inclusiva panameña —Ley 15 de 2016 y Decreto Ejecutivo 84 de 2015— establece que los estudiantes con necesidades educativas especiales tienen derecho a recibir apoyos adicionales de nivelación dentro del sistema educativo regular. Esto implica que los programas de recuperación deben diseñarse desde el inicio para atender la diversidad del aula, con los ajustes razonables necesarios para garantizar la participación plena de todos los estudiantes.</w:t>
      </w:r>
    </w:p>
    <w:p>
      <w:pPr>
        <w:spacing w:before="60" w:after="80" w:line="360" w:lineRule="auto"/>
        <w:jc w:val="both"/>
      </w:pPr>
      <w:r>
        <w:rPr>
          <w:rFonts w:ascii="Calibri" w:hAnsi="Calibri"/>
          <w:b w:val="0"/>
          <w:i w:val="0"/>
          <w:sz w:val="21"/>
        </w:rPr>
        <w:t>La política de formación docente continua en Panamá —enmarcada por el Decreto Ejecutivo 305 de 2004— reconoce que la mejora de los aprendizajes está directamente vinculada con la calidad de la formación docente. Sin embargo, el sistema histórico de formación continua ha sido fragmentado, discontinuo y desconectado de las necesidades pedagógicas reales de las aulas. El Diplomado de Recuperación de Aprendizajes de CERPA aspira a representar un modelo alternativo: intensivo en tiempo, centrado en la práctica reflexiva y evaluado en función de su impacto sobre el aprendizaje.</w:t>
      </w:r>
    </w:p>
    <w:p>
      <w:pPr>
        <w:spacing w:before="60" w:after="80" w:line="360" w:lineRule="auto"/>
        <w:jc w:val="both"/>
      </w:pPr>
      <w:r>
        <w:rPr>
          <w:rFonts w:ascii="Calibri" w:hAnsi="Calibri"/>
          <w:b w:val="0"/>
          <w:i w:val="0"/>
          <w:sz w:val="21"/>
        </w:rPr>
        <w:t>La política de evaluación educativa en Panamá ha sido históricamente orientada principalmente hacia la rendición de cuentas y mucho menos hacia el uso formativo de los datos para orientar el proceso pedagógico. Una política de evaluación coherente con los principios de la recuperación debería producir información que llegue a tiempo a los docentes para que puedan ajustar sus intervenciones, en lugar de datos que se publican meses después y tienen escasa utilidad para la toma de decisiones cotidianas.</w:t>
      </w:r>
    </w:p>
    <w:p>
      <w:pPr>
        <w:spacing w:before="60" w:after="80" w:line="360" w:lineRule="auto"/>
        <w:jc w:val="both"/>
      </w:pPr>
      <w:r>
        <w:rPr>
          <w:rFonts w:ascii="Calibri" w:hAnsi="Calibri"/>
          <w:b w:val="0"/>
          <w:i w:val="0"/>
          <w:sz w:val="21"/>
        </w:rPr>
        <w:t>Las políticas de financiamiento educativo son el sustrato material sin el cual las mejores políticas pedagógicas no pueden implementarse. Panamá destina aproximadamente el 3.5% de su PIB a la educación (BID, 2023), por debajo del promedio latinoamericano del 4.3% y muy lejos del 6% recomendado por UNESCO. Esta brecha de financiamiento tiene consecuencias directas sobre la capacidad del sistema para implementar programas de recuperación de alta calidad a escala.</w:t>
      </w:r>
    </w:p>
    <w:p>
      <w:pPr>
        <w:spacing w:before="60" w:after="80" w:line="360" w:lineRule="auto"/>
        <w:jc w:val="both"/>
      </w:pPr>
      <w:r>
        <w:rPr>
          <w:rFonts w:ascii="Calibri" w:hAnsi="Calibri"/>
          <w:b w:val="0"/>
          <w:i w:val="0"/>
          <w:sz w:val="21"/>
        </w:rPr>
        <w:t>La cooperación internacional —BID, Banco Mundial, UNICEF, UNESCO, USAID— ha aportado recursos financieros, asistencia técnica y acceso a evidencias internacionales que han enriquecido el diseño de los programas nacionales de recuperación. Sin embargo, la dependencia excesiva de la cooperación genera riesgos de sostenibilidad cuando los proyectos concluyen y de apropiación cuando el diseño está demasiado determinado por agendas externas sin suficiente adaptación a las condiciones y necesidades locales.</w:t>
      </w:r>
    </w:p>
    <w:p>
      <w:pPr>
        <w:spacing w:before="60" w:after="80" w:line="360" w:lineRule="auto"/>
        <w:jc w:val="both"/>
      </w:pPr>
      <w:r>
        <w:rPr>
          <w:rFonts w:ascii="Calibri" w:hAnsi="Calibri"/>
          <w:b w:val="0"/>
          <w:i w:val="0"/>
          <w:sz w:val="21"/>
        </w:rPr>
        <w:t>La participación ciudadana en el diseño y evaluación de las políticas de recuperación es un principio democrático que el sistema educativo panameño ha incorporado de manera desigual. Las asociaciones de padres de familia, los sindicatos docentes, las organizaciones de la sociedad civil y las propias comunidades estudiantiles tienen el derecho y la responsabilidad ciudadana de participar en los debates sobre qué tipo de recuperación necesita el sistema educativo panameño.</w:t>
      </w:r>
    </w:p>
    <w:p>
      <w:pPr>
        <w:spacing w:before="60" w:after="80" w:line="360" w:lineRule="auto"/>
        <w:jc w:val="both"/>
      </w:pPr>
      <w:r>
        <w:rPr>
          <w:rFonts w:ascii="Calibri" w:hAnsi="Calibri"/>
          <w:b w:val="0"/>
          <w:i w:val="0"/>
          <w:sz w:val="21"/>
        </w:rPr>
        <w:t>La coherencia de las políticas de recuperación con los principios del desarrollo sostenible subraya que la inversión en recuperación de aprendizajes no es únicamente una política educativa sino una política de desarrollo humano integral: sin ciudadanos con competencias lectoras, matemáticas y críticas suficientes, es más difícil avanzar hacia la reducción de la pobreza, la salud y el bienestar, la igualdad de género, el trabajo decente y la acción por el clima.</w:t>
      </w:r>
    </w:p>
    <w:p/>
    <w:p>
      <w:pPr>
        <w:keepNext/>
        <w:spacing w:before="240" w:after="100"/>
        <w:jc w:val="left"/>
      </w:pPr>
      <w:r>
        <w:rPr>
          <w:rFonts w:ascii="Calibri" w:hAnsi="Calibri"/>
          <w:b/>
          <w:color w:val="12265B"/>
          <w:sz w:val="26"/>
        </w:rPr>
        <w:t>Unidad 10: Construcción del proyecto integrador: Diagnóstico inicial del contexto de recuperación</w:t>
      </w:r>
    </w:p>
    <w:p>
      <w:pPr>
        <w:spacing w:before="40" w:after="100" w:line="360" w:lineRule="auto"/>
        <w:jc w:val="both"/>
      </w:pPr>
      <w:r>
        <w:rPr>
          <w:rFonts w:ascii="Calibri" w:hAnsi="Calibri"/>
          <w:b w:val="0"/>
          <w:i/>
          <w:sz w:val="20"/>
        </w:rPr>
        <w:t>Objetivo: Elaborar el diagnóstico inicial de la situación de aprendizaje de los estudiantes del propio contexto educativo, identificando las brechas prioritarias que orientarán el diseño del proyecto integrador del Diplomado (PME-1).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proyecto integrador de este Diplomado —el Plan de Mejora del Establecimiento (PME-1)— es el producto de aprendizaje más significativo que el participante construirá a lo largo de los ocho módulos. No es un ejercicio académico abstracto: es un plan real, diseñado para el propio contexto educativo del participante, con sus propios estudiantes, sus propias condiciones institucionales y sus propias brechas de aprendizaje identificadas.</w:t>
      </w:r>
    </w:p>
    <w:p>
      <w:pPr>
        <w:spacing w:before="60" w:after="80" w:line="360" w:lineRule="auto"/>
        <w:jc w:val="both"/>
      </w:pPr>
      <w:r>
        <w:rPr>
          <w:rFonts w:ascii="Calibri" w:hAnsi="Calibri"/>
          <w:b w:val="0"/>
          <w:i w:val="0"/>
          <w:sz w:val="21"/>
        </w:rPr>
        <w:t>El diagnóstico inicial del contexto de recuperación es el primer paso del ciclo de investigación-acción que este Diplomado propone implementar. Un diagnóstico bien elaborado no es simplemente una descripción de los problemas: es una indagación sistemática, informada por múltiples fuentes de evidencia y orientada por preguntas pedagógicamente relevantes, que produce una comprensión profunda de la situación de aprendizaje de los estudiantes.</w:t>
      </w:r>
    </w:p>
    <w:p>
      <w:pPr>
        <w:spacing w:before="60" w:after="80" w:line="360" w:lineRule="auto"/>
        <w:jc w:val="both"/>
      </w:pPr>
      <w:r>
        <w:rPr>
          <w:rFonts w:ascii="Calibri" w:hAnsi="Calibri"/>
          <w:b w:val="0"/>
          <w:i w:val="0"/>
          <w:sz w:val="21"/>
        </w:rPr>
        <w:t>Las preguntas orientadoras del diagnóstico inicial son: ¿Cuáles son las competencias específicas que mis estudiantes no han logrado y que son prioritarias según el currículo nacional? ¿Qué porcentaje de los estudiantes presenta cada brecha? ¿Desde cuándo se observa —es nueva o acumulada de varios ciclos? ¿Cuáles parecen ser las causas más probables —pedagógicas, socioeconómicas, familiares, lingüísticas, emocionales? ¿Con qué recursos pedagógicos e institucionales cuento para diseñar intervenciones?</w:t>
      </w:r>
    </w:p>
    <w:p>
      <w:pPr>
        <w:spacing w:before="60" w:after="80" w:line="360" w:lineRule="auto"/>
        <w:jc w:val="both"/>
      </w:pPr>
      <w:r>
        <w:rPr>
          <w:rFonts w:ascii="Calibri" w:hAnsi="Calibri"/>
          <w:b w:val="0"/>
          <w:i w:val="0"/>
          <w:sz w:val="21"/>
        </w:rPr>
        <w:t>Las fuentes documentales relevantes para el diagnóstico incluyen: los registros de evaluación de ciclos anteriores (calificaciones, observaciones del docente, informes de orientación), los resultados de pruebas nacionales y regionales disponibles para el centro, los informes del equipo de orientación y trabajo social sobre los estudiantes con mayor vulnerabilidad, y los registros de asistencia y ausentismo que pueden indicar problemas de permanencia vinculados a las brechas.</w:t>
      </w:r>
    </w:p>
    <w:p>
      <w:pPr>
        <w:spacing w:before="60" w:after="80" w:line="360" w:lineRule="auto"/>
        <w:jc w:val="both"/>
      </w:pPr>
      <w:r>
        <w:rPr>
          <w:rFonts w:ascii="Calibri" w:hAnsi="Calibri"/>
          <w:b w:val="0"/>
          <w:i w:val="0"/>
          <w:sz w:val="21"/>
        </w:rPr>
        <w:t>Las evaluaciones diagnósticas aplicadas directamente a los estudiantes al inicio del programa deben ser: alineadas con las competencias fundamentales del nivel educativo, de administración rápida y de interpretación accesible para el docente de aula, capaces de proporcionar información cualitativa sobre los procesos de pensamiento del estudiante, y diseñadas en un formato que no genere ansiedad —preferiblemente en el contexto de actividades que se perciban como aprendizaje, no como examen.</w:t>
      </w:r>
    </w:p>
    <w:p>
      <w:pPr>
        <w:spacing w:before="60" w:after="80" w:line="360" w:lineRule="auto"/>
        <w:jc w:val="both"/>
      </w:pPr>
      <w:r>
        <w:rPr>
          <w:rFonts w:ascii="Calibri" w:hAnsi="Calibri"/>
          <w:b w:val="0"/>
          <w:i w:val="0"/>
          <w:sz w:val="21"/>
        </w:rPr>
        <w:t>El mapa de brechas de aprendizaje es un instrumento visual que organiza los hallazgos del diagnóstico de manera fácil de interpretar, compartir con el equipo docente y actualizar a lo largo del proceso de recuperación. Muestra, para cada estudiante del grupo, cuáles competencias específicas no ha logrado, cuáles ya ha alcanzado y cuáles están en transición, proporcionando una visión de conjunto que permite identificar las brechas más frecuentes y los casos individuales que requieren atención más específica.</w:t>
      </w:r>
    </w:p>
    <w:p>
      <w:pPr>
        <w:spacing w:before="60" w:after="80" w:line="360" w:lineRule="auto"/>
        <w:jc w:val="both"/>
      </w:pPr>
      <w:r>
        <w:rPr>
          <w:rFonts w:ascii="Calibri" w:hAnsi="Calibri"/>
          <w:b w:val="0"/>
          <w:i w:val="0"/>
          <w:sz w:val="21"/>
        </w:rPr>
        <w:t>El análisis de las causas de las brechas identificadas es el paso más exigente del diagnóstico porque requiere ir más allá de la descripción de los síntomas para preguntarse por los factores que los producen. Tratar el mismo síntoma sin haber identificado la causa específica equivale a tratar un dolor de cabeza con analgésicos sin diagnosticar si es producido por tensión muscular, deshidratación, problemas de visión o un factor más grave que requiere atención especializada.</w:t>
      </w:r>
    </w:p>
    <w:p>
      <w:pPr>
        <w:spacing w:before="60" w:after="80" w:line="360" w:lineRule="auto"/>
        <w:jc w:val="both"/>
      </w:pPr>
      <w:r>
        <w:rPr>
          <w:rFonts w:ascii="Calibri" w:hAnsi="Calibri"/>
          <w:b w:val="0"/>
          <w:i w:val="0"/>
          <w:sz w:val="21"/>
        </w:rPr>
        <w:t>La priorización de las brechas para el programa de recuperación es necesaria porque el tiempo siempre es menor que la cantidad de competencias que sería deseable recuperar. Los criterios de priorización más pertinentes son: el impacto de la brecha sobre el aprendizaje posterior (las competencias fundamentales tienen mayor prioridad), la frecuencia de la brecha (las que afectan al mayor número de estudiantes justifican intervenciones grupales más eficientes), y la viabilidad de la intervención en el contexto disponible.</w:t>
      </w:r>
    </w:p>
    <w:p>
      <w:pPr>
        <w:spacing w:before="60" w:after="80" w:line="360" w:lineRule="auto"/>
        <w:jc w:val="both"/>
      </w:pPr>
      <w:r>
        <w:rPr>
          <w:rFonts w:ascii="Calibri" w:hAnsi="Calibri"/>
          <w:b w:val="0"/>
          <w:i w:val="0"/>
          <w:sz w:val="21"/>
        </w:rPr>
        <w:t>La formulación de los objetivos de recuperación del proyecto integrador tiene tres componentes: el qué —la competencia específica que se pretende recuperar—, el quién —los estudiantes destinatarios de la intervención, identificados nominalmente o por grupo—, y el cuánto —el criterio de logro que permitirá determinar si la intervención fue exitosa, preferiblemente expresado en términos medibles que puedan verificarse al final del período de intervención.</w:t>
      </w:r>
    </w:p>
    <w:p>
      <w:pPr>
        <w:spacing w:before="60" w:after="80" w:line="360" w:lineRule="auto"/>
        <w:jc w:val="both"/>
      </w:pPr>
      <w:r>
        <w:rPr>
          <w:rFonts w:ascii="Calibri" w:hAnsi="Calibri"/>
          <w:b w:val="0"/>
          <w:i w:val="0"/>
          <w:sz w:val="21"/>
        </w:rPr>
        <w:t>La planificación de los recursos necesarios para el programa de recuperación incluye: el tiempo disponible para las intervenciones dentro y fuera del horario regular, los materiales pedagógicos existentes en el centro y los que deben solicitarse o crearse, los apoyos humanos disponibles —docentes de apoyo, orientadores, padres voluntarios, estudiantes pares—, las herramientas tecnológicas accesibles y el apoyo institucional del equipo directivo.</w:t>
      </w:r>
    </w:p>
    <w:p>
      <w:pPr>
        <w:spacing w:before="60" w:after="80" w:line="360" w:lineRule="auto"/>
        <w:jc w:val="both"/>
      </w:pPr>
      <w:r>
        <w:rPr>
          <w:rFonts w:ascii="Calibri" w:hAnsi="Calibri"/>
          <w:b w:val="0"/>
          <w:i w:val="0"/>
          <w:sz w:val="21"/>
        </w:rPr>
        <w:t>La comunicación del diagnóstico inicial a los diferentes actores del proceso —el equipo directivo, los padres de familia, los propios estudiantes y el equipo de apoyo pedagógico— tiene un impacto enorme sobre el compromiso de todos los actores. Cuando los padres comprenden específicamente cuáles son las brechas de aprendizaje de su hijo en términos de competencias concretas y qué pueden hacer en casa para apoyar su recuperación, su nivel de compromiso y su efectividad como aliados aumentan significativamente.</w:t>
      </w:r>
    </w:p>
    <w:p>
      <w:pPr>
        <w:spacing w:before="60" w:after="80" w:line="360" w:lineRule="auto"/>
        <w:jc w:val="both"/>
      </w:pPr>
      <w:r>
        <w:rPr>
          <w:rFonts w:ascii="Calibri" w:hAnsi="Calibri"/>
          <w:b w:val="0"/>
          <w:i w:val="0"/>
          <w:sz w:val="21"/>
        </w:rPr>
        <w:t>El monitoreo continuo del progreso del diagnóstico a lo largo del programa de recuperación es el mecanismo que permite ajustar el plan en tiempo real. El diagnóstico inicial no es un documento que se elabora una vez y se archiva: es el punto de partida de un proceso de evaluación formativa continua que acompaña toda la implementación del programa, permitiendo verificar si los estudiantes están progresando hacia las metas del programa de recuperación y qué estrategias están funcionando.</w:t>
      </w:r>
    </w:p>
    <w:p/>
    <w:p>
      <w:r>
        <w:br w:type="page"/>
      </w:r>
    </w:p>
    <w:p>
      <w:pPr>
        <w:keepNext/>
        <w:spacing w:before="320" w:after="160"/>
        <w:jc w:val="left"/>
      </w:pPr>
      <w:r>
        <w:rPr>
          <w:rFonts w:ascii="Calibri" w:hAnsi="Calibri"/>
          <w:b/>
          <w:color w:val="8B6914"/>
          <w:sz w:val="32"/>
        </w:rPr>
        <w:t>MÓDULO 2: Diagnóstico, Evaluación Formativa y Detección de Brechas de Aprendizaje</w:t>
      </w:r>
    </w:p>
    <w:p>
      <w:pPr>
        <w:keepNext w:val="0"/>
        <w:spacing w:before="40" w:after="120"/>
        <w:jc w:val="left"/>
      </w:pPr>
      <w:r>
        <w:rPr>
          <w:rFonts w:ascii="Calibri" w:hAnsi="Calibri"/>
          <w:b w:val="0"/>
          <w:color w:val="5A6370"/>
          <w:sz w:val="22"/>
        </w:rPr>
        <w:t>(Módulo Base — Compartido con todos los niveles)</w:t>
      </w:r>
    </w:p>
    <w:p>
      <w:pPr>
        <w:pBdr>
          <w:bottom w:val="single" w:sz="4" w:space="1" w:color="8B6914"/>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6914"/>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y aplicará instrumentos de diagnóstico y evaluación formativa para detectar con precisión las brechas de aprendizaje de sus estudiantes, identificar sus causas y construir un mapa de necesidades que oriente el diseño de intervenciones pedagógicas diferenciadas.</w:t>
            </w:r>
          </w:p>
        </w:tc>
      </w:tr>
      <w:tr>
        <w:tc>
          <w:tcPr>
            <w:tcW w:type="dxa" w:w="2551"/>
            <w:shd w:val="clear" w:color="auto" w:fill="8B6914"/>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8B6914"/>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PME-2: Diseño y aplicación de un instrumento diagnóstico para el nivel educativo del participante, con análisis de resultados, mapa de brechas por estudiante y propuesta de agrupamiento para la intervención de recuperación.</w:t>
            </w:r>
          </w:p>
        </w:tc>
      </w:tr>
    </w:tbl>
    <w:p/>
    <w:p>
      <w:pPr>
        <w:keepNext w:val="0"/>
        <w:spacing w:before="160" w:after="60"/>
        <w:jc w:val="left"/>
      </w:pPr>
      <w:r>
        <w:rPr>
          <w:rFonts w:ascii="Calibri" w:hAnsi="Calibri"/>
          <w:b w:val="0"/>
          <w:color w:val="5A6370"/>
          <w:sz w:val="22"/>
        </w:rPr>
        <w:t>Fuentes de Referencia — Módulo 2:</w:t>
      </w:r>
    </w:p>
    <w:p>
      <w:pPr>
        <w:spacing w:before="20" w:after="20" w:line="360" w:lineRule="auto"/>
        <w:ind w:left="283"/>
        <w:jc w:val="both"/>
      </w:pPr>
      <w:r>
        <w:rPr>
          <w:rFonts w:ascii="Calibri" w:hAnsi="Calibri"/>
          <w:b w:val="0"/>
          <w:i w:val="0"/>
          <w:color w:val="5A6370"/>
          <w:sz w:val="18"/>
        </w:rPr>
        <w:t>○  Heritage, M. (2010). Formative Assessment: Making It Happen in the Classroom. Corwin Press.</w:t>
      </w:r>
    </w:p>
    <w:p>
      <w:pPr>
        <w:spacing w:before="20" w:after="20" w:line="360" w:lineRule="auto"/>
        <w:ind w:left="283"/>
        <w:jc w:val="both"/>
      </w:pPr>
      <w:r>
        <w:rPr>
          <w:rFonts w:ascii="Calibri" w:hAnsi="Calibri"/>
          <w:b w:val="0"/>
          <w:i w:val="0"/>
          <w:color w:val="5A6370"/>
          <w:sz w:val="18"/>
        </w:rPr>
        <w:t>○  Black, P. &amp; Wiliam, D. (1998). Inside the Black Box: Raising Standards Through Classroom Assessment. Phi Delta Kappan.</w:t>
      </w:r>
    </w:p>
    <w:p>
      <w:pPr>
        <w:spacing w:before="20" w:after="20" w:line="360" w:lineRule="auto"/>
        <w:ind w:left="283"/>
        <w:jc w:val="both"/>
      </w:pPr>
      <w:r>
        <w:rPr>
          <w:rFonts w:ascii="Calibri" w:hAnsi="Calibri"/>
          <w:b w:val="0"/>
          <w:i w:val="0"/>
          <w:color w:val="5A6370"/>
          <w:sz w:val="18"/>
        </w:rPr>
        <w:t>○  Wiliam, D. (2011). Embedded Formative Assessment. Bloomington, IN: Solution Tree Press.</w:t>
      </w:r>
    </w:p>
    <w:p>
      <w:pPr>
        <w:spacing w:before="20" w:after="20" w:line="360" w:lineRule="auto"/>
        <w:ind w:left="283"/>
        <w:jc w:val="both"/>
      </w:pPr>
      <w:r>
        <w:rPr>
          <w:rFonts w:ascii="Calibri" w:hAnsi="Calibri"/>
          <w:b w:val="0"/>
          <w:i w:val="0"/>
          <w:color w:val="5A6370"/>
          <w:sz w:val="18"/>
        </w:rPr>
        <w:t>○  Shepard, L.A. (2000). The Role of Assessment in a Learning Culture. Educational Researcher.</w:t>
      </w:r>
    </w:p>
    <w:p>
      <w:pPr>
        <w:spacing w:before="20" w:after="20" w:line="360" w:lineRule="auto"/>
        <w:ind w:left="283"/>
        <w:jc w:val="both"/>
      </w:pPr>
      <w:r>
        <w:rPr>
          <w:rFonts w:ascii="Calibri" w:hAnsi="Calibri"/>
          <w:b w:val="0"/>
          <w:i w:val="0"/>
          <w:color w:val="5A6370"/>
          <w:sz w:val="18"/>
        </w:rPr>
        <w:t>○  Stiggins, R. (2008). Student-Involved Assessment for Learning. Upper Saddle River: Pearson.</w:t>
      </w:r>
    </w:p>
    <w:p>
      <w:pPr>
        <w:spacing w:before="20" w:after="20" w:line="360" w:lineRule="auto"/>
        <w:ind w:left="283"/>
        <w:jc w:val="both"/>
      </w:pPr>
      <w:r>
        <w:rPr>
          <w:rFonts w:ascii="Calibri" w:hAnsi="Calibri"/>
          <w:b w:val="0"/>
          <w:i w:val="0"/>
          <w:color w:val="5A6370"/>
          <w:sz w:val="18"/>
        </w:rPr>
        <w:t>○  MEDUCA (2022). Lineamientos de Evaluación de los Aprendizajes en el Sistema Educativo Panameño.</w:t>
      </w:r>
    </w:p>
    <w:p>
      <w:pPr>
        <w:spacing w:before="20" w:after="20" w:line="360" w:lineRule="auto"/>
        <w:ind w:left="283"/>
        <w:jc w:val="both"/>
      </w:pPr>
      <w:r>
        <w:rPr>
          <w:rFonts w:ascii="Calibri" w:hAnsi="Calibri"/>
          <w:b w:val="0"/>
          <w:i w:val="0"/>
          <w:color w:val="5A6370"/>
          <w:sz w:val="18"/>
        </w:rPr>
        <w:t>○  RTI International (2019). Early Grade Reading Assessment (EGRA) Toolkit. USAID.</w:t>
      </w:r>
    </w:p>
    <w:p>
      <w:pPr>
        <w:spacing w:before="20" w:after="20" w:line="360" w:lineRule="auto"/>
        <w:ind w:left="283"/>
        <w:jc w:val="both"/>
      </w:pPr>
      <w:r>
        <w:rPr>
          <w:rFonts w:ascii="Calibri" w:hAnsi="Calibri"/>
          <w:b w:val="0"/>
          <w:i w:val="0"/>
          <w:color w:val="5A6370"/>
          <w:sz w:val="18"/>
        </w:rPr>
        <w:t>○  CAST (2018). Universal Design for Learning Guidelines 2.2. Wakefield, MA.</w:t>
      </w:r>
    </w:p>
    <w:p>
      <w:pPr>
        <w:spacing w:before="20" w:after="20" w:line="360" w:lineRule="auto"/>
        <w:ind w:left="283"/>
        <w:jc w:val="both"/>
      </w:pPr>
      <w:r>
        <w:rPr>
          <w:rFonts w:ascii="Calibri" w:hAnsi="Calibri"/>
          <w:b w:val="0"/>
          <w:i w:val="0"/>
          <w:color w:val="5A6370"/>
          <w:sz w:val="18"/>
        </w:rPr>
        <w:t>○  Tomlinson, C.A. (2017). How to Differentiate Instruction in Academically Diverse Classrooms. ASCD.</w:t>
      </w:r>
    </w:p>
    <w:p>
      <w:pPr>
        <w:spacing w:before="20" w:after="20" w:line="360" w:lineRule="auto"/>
        <w:ind w:left="283"/>
        <w:jc w:val="both"/>
      </w:pPr>
      <w:r>
        <w:rPr>
          <w:rFonts w:ascii="Calibri" w:hAnsi="Calibri"/>
          <w:b w:val="0"/>
          <w:i w:val="0"/>
          <w:color w:val="5A6370"/>
          <w:sz w:val="18"/>
        </w:rPr>
        <w:t>○  Brookhart, S.M. (2017). How to Give Effective Feedback to Your Students. ASCD.</w:t>
      </w:r>
    </w:p>
    <w:p/>
    <w:p>
      <w:pPr>
        <w:keepNext/>
        <w:spacing w:before="240" w:after="100"/>
        <w:jc w:val="left"/>
      </w:pPr>
      <w:r>
        <w:rPr>
          <w:rFonts w:ascii="Calibri" w:hAnsi="Calibri"/>
          <w:b/>
          <w:color w:val="12265B"/>
          <w:sz w:val="26"/>
        </w:rPr>
        <w:t>Unidad 1: Fundamentos de la evaluación diagnóstica en recuperación de aprendizajes</w:t>
      </w:r>
    </w:p>
    <w:p>
      <w:pPr>
        <w:spacing w:before="40" w:after="100" w:line="360" w:lineRule="auto"/>
        <w:jc w:val="both"/>
      </w:pPr>
      <w:r>
        <w:rPr>
          <w:rFonts w:ascii="Calibri" w:hAnsi="Calibri"/>
          <w:b w:val="0"/>
          <w:i/>
          <w:sz w:val="20"/>
        </w:rPr>
        <w:t>Objetivo: Definir los fundamentos de la evaluación diagnóstica y su función en el diseño de intervenciones de recuperación diferenciadas.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diagnóstica es el primer paso —y quizás el más determinante— del ciclo de recuperación de aprendizajes. Su propósito no es calificar ni juzgar al estudiante: es producir información precisa, oportuna y accionable sobre qué sabe y qué no sabe el estudiante, sobre cuáles son los recursos cognitivos, emocionales y lingüísticos que trae al proceso de recuperación, y sobre cuáles son las condiciones del contexto que facilitarán o dificultarán su progreso.</w:t>
      </w:r>
    </w:p>
    <w:p>
      <w:pPr>
        <w:spacing w:before="60" w:after="80" w:line="360" w:lineRule="auto"/>
        <w:jc w:val="both"/>
      </w:pPr>
      <w:r>
        <w:rPr>
          <w:rFonts w:ascii="Calibri" w:hAnsi="Calibri"/>
          <w:b w:val="0"/>
          <w:i w:val="0"/>
          <w:sz w:val="21"/>
        </w:rPr>
        <w:t>La evaluación diagnóstica se distingue de la evaluación sumativa en tres aspectos fundamentales: su propósito (orientar la instrucción, no calificar el aprendizaje), su momento de aplicación (al inicio del proceso, no al final) y su uso (para tomar decisiones pedagógicas, no para reportar resultados). Un docente de recuperación que utiliza la evaluación diagnóstica de la misma manera que utiliza una prueba sumativa pierde el potencial transformador de este instrumento.</w:t>
      </w:r>
    </w:p>
    <w:p>
      <w:pPr>
        <w:spacing w:before="60" w:after="80" w:line="360" w:lineRule="auto"/>
        <w:jc w:val="both"/>
      </w:pPr>
      <w:r>
        <w:rPr>
          <w:rFonts w:ascii="Calibri" w:hAnsi="Calibri"/>
          <w:b w:val="0"/>
          <w:i w:val="0"/>
          <w:sz w:val="21"/>
        </w:rPr>
        <w:t>Los fundamentos de la evaluación diagnóstica eficaz en recuperación incluyen cuatro principios: la alineación curricular —los instrumentos diagnósticos deben medir exactamente las competencias que el programa de recuperación pretende desarrollar—, la multidimensionalidad —el diagnóstico debe capturar tanto los aspectos cognitivos como los socioemocionales del aprendizaje—, la pertinencia cultural —los instrumentos deben ser comprensibles y culturalmente relevantes para los estudiantes—, y la practicidad —deben ser administrables por el docente de aula sin necesidad de equipos especializados.</w:t>
      </w:r>
    </w:p>
    <w:p>
      <w:pPr>
        <w:spacing w:before="60" w:after="80" w:line="360" w:lineRule="auto"/>
        <w:jc w:val="both"/>
      </w:pPr>
      <w:r>
        <w:rPr>
          <w:rFonts w:ascii="Calibri" w:hAnsi="Calibri"/>
          <w:b w:val="0"/>
          <w:i w:val="0"/>
          <w:sz w:val="21"/>
        </w:rPr>
        <w:t>La teoría de la evaluación auténtica (Wiggins, 1998) propone que los instrumentos de diagnóstico más informativos son los que invitan al estudiante a demostrar su comprensión en contextos significativos, similares a los que encontrará en la vida real, en lugar de responder preguntas descontextualizadas sobre contenidos aislados. En el contexto de la recuperación, los diagnósticos auténticos —actividades de resolución de problemas, conversaciones, proyectos cortos— revelan mucho más sobre el nivel de dominio real del estudiante que una prueba de opciones múltiples.</w:t>
      </w:r>
    </w:p>
    <w:p>
      <w:pPr>
        <w:spacing w:before="60" w:after="80" w:line="360" w:lineRule="auto"/>
        <w:jc w:val="both"/>
      </w:pPr>
      <w:r>
        <w:rPr>
          <w:rFonts w:ascii="Calibri" w:hAnsi="Calibri"/>
          <w:b w:val="0"/>
          <w:i w:val="0"/>
          <w:sz w:val="21"/>
        </w:rPr>
        <w:t>El diagnóstico en recuperación de aprendizajes debe diferenciar entre lo que el estudiante no sabe y lo que el estudiante sabe pero no puede demostrar en el formato del instrumento utilizado. Un estudiante que no responde correctamente a una pregunta escrita de comprensión lectora puede tener problemas de comprensión lectora, o puede tener un nivel de comprensión adecuado pero dificultades para expresarlo por escrito, o puede tener dificultades con el vocabulario del texto pero no con la comprensión estructural. Distinguir entre estas posibilidades requiere utilizar múltiples formatos de evaluación diagnóstica.</w:t>
      </w:r>
    </w:p>
    <w:p>
      <w:pPr>
        <w:spacing w:before="60" w:after="80" w:line="360" w:lineRule="auto"/>
        <w:jc w:val="both"/>
      </w:pPr>
      <w:r>
        <w:rPr>
          <w:rFonts w:ascii="Calibri" w:hAnsi="Calibri"/>
          <w:b w:val="0"/>
          <w:i w:val="0"/>
          <w:sz w:val="21"/>
        </w:rPr>
        <w:t>La evaluación diagnóstica eficaz en recuperación incluye no solo la medición de las competencias académicas sino también la identificación de los factores emocionales que pueden estar contribuyendo a las dificultades de aprendizaje: la ansiedad de prueba, la autoeficacia académica —la creencia del estudiante en su propia capacidad de aprender—, la motivación intrínseca hacia las áreas de estudio donde se detecta mayor brecha, y las experiencias previas de fracaso académico que pueden haber generado una relación de evitación con determinadas asignaturas.</w:t>
      </w:r>
    </w:p>
    <w:p>
      <w:pPr>
        <w:spacing w:before="60" w:after="80" w:line="360" w:lineRule="auto"/>
        <w:jc w:val="both"/>
      </w:pPr>
      <w:r>
        <w:rPr>
          <w:rFonts w:ascii="Calibri" w:hAnsi="Calibri"/>
          <w:b w:val="0"/>
          <w:i w:val="0"/>
          <w:sz w:val="21"/>
        </w:rPr>
        <w:t>El diagnóstico de los prerequisitos curriculares es una dimensión frecuentemente subestimada de la evaluación diagnóstica en recuperación. Antes de intervenir sobre la competencia que presenta déficit en el nivel actual, el docente de recuperación necesita verificar si el estudiante tiene los prerequisitos conceptuales de los grados anteriores que son necesarios para construir la comprensión de esa competencia. Si el estudiante no tiene los prerequisitos, la intervención sobre la competencia del nivel actual será ineficaz por más bien diseñada que esté.</w:t>
      </w:r>
    </w:p>
    <w:p>
      <w:pPr>
        <w:spacing w:before="60" w:after="80" w:line="360" w:lineRule="auto"/>
        <w:jc w:val="both"/>
      </w:pPr>
      <w:r>
        <w:rPr>
          <w:rFonts w:ascii="Calibri" w:hAnsi="Calibri"/>
          <w:b w:val="0"/>
          <w:i w:val="0"/>
          <w:sz w:val="21"/>
        </w:rPr>
        <w:t>Los instrumentos de evaluación diagnóstica más efectivos en recuperación de aprendizajes son: las evaluaciones de inicio de unidad o de inicio de programa —que proporcionan información sobre el nivel de dominio de los estudiantes antes de comenzar la intervención—, las observaciones sistemáticas del comportamiento del estudiante durante actividades de aprendizaje —que revelan los procesos de pensamiento que no son visibles en las respuestas escritas—, los portafolios de producciones del estudiante —que muestran la evolución del aprendizaje a lo largo del tiempo—, y las conversaciones de diagnóstico —entrevistas breves en las que el docente le pide al estudiante que explique cómo resolvió un problema.</w:t>
      </w:r>
    </w:p>
    <w:p>
      <w:pPr>
        <w:spacing w:before="60" w:after="80" w:line="360" w:lineRule="auto"/>
        <w:jc w:val="both"/>
      </w:pPr>
      <w:r>
        <w:rPr>
          <w:rFonts w:ascii="Calibri" w:hAnsi="Calibri"/>
          <w:b w:val="0"/>
          <w:i w:val="0"/>
          <w:sz w:val="21"/>
        </w:rPr>
        <w:t>La devolución del diagnóstico al estudiante —comunicarle qué reveló el diagnóstico sobre sus fortalezas y sus brechas, y qué implicaciones tiene para el plan de recuperación— es una práctica pedagógica que tiene múltiples beneficios: activa la metacognición del estudiante al hacerlo consciente de su propio nivel de dominio, reduce la ansiedad al transformar el diagnóstico de un juicio externo en una herramienta de orientación propia, y fortalece la autoeficacia cuando el docente comunica con claridad que las brechas identificadas son superables con esfuerzo y con el apoyo adecuado.</w:t>
      </w:r>
    </w:p>
    <w:p>
      <w:pPr>
        <w:spacing w:before="60" w:after="80" w:line="360" w:lineRule="auto"/>
        <w:jc w:val="both"/>
      </w:pPr>
      <w:r>
        <w:rPr>
          <w:rFonts w:ascii="Calibri" w:hAnsi="Calibri"/>
          <w:b w:val="0"/>
          <w:i w:val="0"/>
          <w:sz w:val="21"/>
        </w:rPr>
        <w:t>El uso ético de los datos diagnósticos es una dimensión frecuentemente olvidada en los programas de recuperación. Los resultados del diagnóstico son información sensible sobre las dificultades de aprendizaje de los estudiantes y deben ser tratados con la misma confidencialidad que cualquier otra información personal sobre su vida. Compartir datos diagnósticos sin el consentimiento del estudiante o de sus familias, utilizarlos para justificar decisiones de exclusión o estigmatización, o comunicarlos de manera que dañe la autoestima del estudiante son prácticas contrarias a los principios éticos de la recuperación.</w:t>
      </w:r>
    </w:p>
    <w:p>
      <w:pPr>
        <w:spacing w:before="60" w:after="80" w:line="360" w:lineRule="auto"/>
        <w:jc w:val="both"/>
      </w:pPr>
      <w:r>
        <w:rPr>
          <w:rFonts w:ascii="Calibri" w:hAnsi="Calibri"/>
          <w:b w:val="0"/>
          <w:i w:val="0"/>
          <w:sz w:val="21"/>
        </w:rPr>
        <w:t>La triangulación de fuentes de información diagnóstica —combinar los resultados de instrumentos formales con la observación directa del docente y con la perspectiva del propio estudiante y de sus familias— produce un cuadro diagnóstico más completo, más justo y más útil para el diseño de la intervención que cualquiera de estas fuentes por sí sola. Un docente que depende exclusivamente de los resultados de una prueba escrita para diagnosticar las brechas de aprendizaje de sus estudiantes está mirando solo una parte de una realidad mucho más compleja.</w:t>
      </w:r>
    </w:p>
    <w:p>
      <w:pPr>
        <w:spacing w:before="60" w:after="80" w:line="360" w:lineRule="auto"/>
        <w:jc w:val="both"/>
      </w:pPr>
      <w:r>
        <w:rPr>
          <w:rFonts w:ascii="Calibri" w:hAnsi="Calibri"/>
          <w:b w:val="0"/>
          <w:i w:val="0"/>
          <w:sz w:val="21"/>
        </w:rPr>
        <w:t>La revisión periódica del diagnóstico a lo largo del programa de recuperación —no solo al inicio sino también en los puntos de control intermedios— es la práctica que transforma el diagnóstico de un evento puntual en un proceso continuo de evaluación formativa. Esta revisión periódica permite al docente verificar si los estudiantes están progresando hacia las metas del programa, identificar los casos en que la intervención no está produciendo el efecto esperado y ajustar las estrategias en tiempo real en función de la evidencia recogida.</w:t>
      </w:r>
    </w:p>
    <w:p/>
    <w:p>
      <w:pPr>
        <w:keepNext/>
        <w:spacing w:before="240" w:after="100"/>
        <w:jc w:val="left"/>
      </w:pPr>
      <w:r>
        <w:rPr>
          <w:rFonts w:ascii="Calibri" w:hAnsi="Calibri"/>
          <w:b/>
          <w:color w:val="12265B"/>
          <w:sz w:val="26"/>
        </w:rPr>
        <w:t>Unidad 2: Evaluación formativa: estrategias y técnicas para el seguimiento del aprendizaje</w:t>
      </w:r>
    </w:p>
    <w:p>
      <w:pPr>
        <w:spacing w:before="40" w:after="100" w:line="360" w:lineRule="auto"/>
        <w:jc w:val="both"/>
      </w:pPr>
      <w:r>
        <w:rPr>
          <w:rFonts w:ascii="Calibri" w:hAnsi="Calibri"/>
          <w:b w:val="0"/>
          <w:i/>
          <w:sz w:val="20"/>
        </w:rPr>
        <w:t>Objetivo: Aplicar estrategias y técnicas de evaluación formativa para el seguimiento continuo del aprendizaje durante el proceso de recuperación. — Bloom: Aplicar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formativa es cualquier acción pedagógica que produce evidencia sobre el aprendizaje del estudiante que el docente —y el propio estudiante— utiliza para ajustar la instrucción en la dirección de mayor aprendizaje. Esta definición, propuesta por Black y Wiliam (1998) y ampliada por Heritage (2010) y Wiliam (2011), destaca tres elementos esenciales: la producción de evidencia, el uso de esa evidencia por el docente y por el estudiante, y el ajuste pedagógico que resulta del análisis de la evidencia.</w:t>
      </w:r>
    </w:p>
    <w:p>
      <w:pPr>
        <w:spacing w:before="60" w:after="80" w:line="360" w:lineRule="auto"/>
        <w:jc w:val="both"/>
      </w:pPr>
      <w:r>
        <w:rPr>
          <w:rFonts w:ascii="Calibri" w:hAnsi="Calibri"/>
          <w:b w:val="0"/>
          <w:i w:val="0"/>
          <w:sz w:val="21"/>
        </w:rPr>
        <w:t>Las cinco estrategias clave de la evaluación formativa efectiva, identificadas por Wiliam (2011), son: clarificar y compartir los objetivos de aprendizaje y los criterios de éxito con los estudiantes, diseñar actividades de discusión y tareas que produzcan evidencia del aprendizaje, proporcionar retroalimentación que haga avanzar el aprendizaje, activar a los estudiantes como recursos de aprendizaje el uno para el otro, y activar a los estudiantes como responsables de su propio aprendizaje. Estas cinco estrategias son aplicables en cualquier nivel educativo y en cualquier asignatura.</w:t>
      </w:r>
    </w:p>
    <w:p>
      <w:pPr>
        <w:spacing w:before="60" w:after="80" w:line="360" w:lineRule="auto"/>
        <w:jc w:val="both"/>
      </w:pPr>
      <w:r>
        <w:rPr>
          <w:rFonts w:ascii="Calibri" w:hAnsi="Calibri"/>
          <w:b w:val="0"/>
          <w:i w:val="0"/>
          <w:sz w:val="21"/>
        </w:rPr>
        <w:t>Las técnicas de 'comprobación inmediata' —técnicas de evaluación formativa aplicables durante la clase sin interrumpir el flujo de la enseñanza— son especialmente valiosas en los programas de recuperación porque permiten al docente identificar en tiempo real si los estudiantes están comprendiendo la instrucción o si necesita ajustar su enfoque. Algunas de las más efectivas son: la técnica de salida ('exit ticket') donde el estudiante responde una o dos preguntas al final de la clase; la técnica del 'pulgar' o del 'semáforo' donde el estudiante indica su nivel de comprensión con una señal visual; y la técnica del 'borrador colectivo' donde el docente visualiza las respuestas de toda la clase simultáneamente.</w:t>
      </w:r>
    </w:p>
    <w:p>
      <w:pPr>
        <w:spacing w:before="60" w:after="80" w:line="360" w:lineRule="auto"/>
        <w:jc w:val="both"/>
      </w:pPr>
      <w:r>
        <w:rPr>
          <w:rFonts w:ascii="Calibri" w:hAnsi="Calibri"/>
          <w:b w:val="0"/>
          <w:i w:val="0"/>
          <w:sz w:val="21"/>
        </w:rPr>
        <w:t>La retroalimentación formativa eficaz tiene cuatro características que la distinguen de la retroalimentación evaluativa convencional: es específica —señala exactamente qué está correcto e incorrecto—, es oportuna —se proporciona cuando el estudiante todavía puede utilizar la información para ajustar su trabajo—, es orientada al proceso —explica qué estrategia sería más efectiva para llegar a la respuesta correcta—, y es procesable —proporciona al estudiante información que puede actuar de inmediato para mejorar su comprensión.</w:t>
      </w:r>
    </w:p>
    <w:p>
      <w:pPr>
        <w:spacing w:before="60" w:after="80" w:line="360" w:lineRule="auto"/>
        <w:jc w:val="both"/>
      </w:pPr>
      <w:r>
        <w:rPr>
          <w:rFonts w:ascii="Calibri" w:hAnsi="Calibri"/>
          <w:b w:val="0"/>
          <w:i w:val="0"/>
          <w:sz w:val="21"/>
        </w:rPr>
        <w:t>La autoevaluación —la capacidad del estudiante de evaluar su propio aprendizaje en relación con los criterios de éxito definidos al inicio de la actividad— es una de las estrategias de evaluación formativa de mayor impacto a largo plazo porque desarrolla la metacognición y la autorregulación del aprendizaje. Las rúbricas de autoevaluación, los diarios de aprendizaje y las listas de verificación personales son herramientas concretas que el docente de recuperación puede utilizar para desarrollar gradualmente la capacidad de autoevaluación de sus estudiantes.</w:t>
      </w:r>
    </w:p>
    <w:p>
      <w:pPr>
        <w:spacing w:before="60" w:after="80" w:line="360" w:lineRule="auto"/>
        <w:jc w:val="both"/>
      </w:pPr>
      <w:r>
        <w:rPr>
          <w:rFonts w:ascii="Calibri" w:hAnsi="Calibri"/>
          <w:b w:val="0"/>
          <w:i w:val="0"/>
          <w:sz w:val="21"/>
        </w:rPr>
        <w:t>La coevaluación —la evaluación del trabajo de un compañero en relación con criterios compartidos— complementa la autoevaluación y la evaluación del docente con la perspectiva de un par que a menudo puede explicar los procesos de manera más comprensible para el estudiante que la explicación del adulto. La investigación sobre tutorías entre pares sugiere que el proceso de evaluar el trabajo de un compañero beneficia tanto al evaluador —que consolida su comprensión al tener que aplicar los criterios de manera explícita— como al evaluado —que recibe retroalimentación adicional a la del docente.</w:t>
      </w:r>
    </w:p>
    <w:p>
      <w:pPr>
        <w:spacing w:before="60" w:after="80" w:line="360" w:lineRule="auto"/>
        <w:jc w:val="both"/>
      </w:pPr>
      <w:r>
        <w:rPr>
          <w:rFonts w:ascii="Calibri" w:hAnsi="Calibri"/>
          <w:b w:val="0"/>
          <w:i w:val="0"/>
          <w:sz w:val="21"/>
        </w:rPr>
        <w:t>El uso de las rúbricas en la evaluación formativa de la recuperación de aprendizajes tiene un doble beneficio: aclara para el estudiante qué se espera de su trabajo en términos concretos y observables —reduciendo así la incertidumbre y la ansiedad asociadas a la evaluación—, y proporciona al docente una herramienta de análisis sistemático que le permite identificar exactamente en qué nivel del proceso de aprendizaje se encuentra el estudiante y qué tipo de retroalimentación necesita para avanzar al siguiente nivel.</w:t>
      </w:r>
    </w:p>
    <w:p>
      <w:pPr>
        <w:spacing w:before="60" w:after="80" w:line="360" w:lineRule="auto"/>
        <w:jc w:val="both"/>
      </w:pPr>
      <w:r>
        <w:rPr>
          <w:rFonts w:ascii="Calibri" w:hAnsi="Calibri"/>
          <w:b w:val="0"/>
          <w:i w:val="0"/>
          <w:sz w:val="21"/>
        </w:rPr>
        <w:t>Las preguntas de alta calidad son la técnica de evaluación formativa más poderosa y más accesible para el docente de recuperación. Una pregunta de alta calidad no busca una respuesta correcta única: busca hacer visible el razonamiento del estudiante —sus concepciones, sus estrategias, sus errores productivos— para que el docente pueda utilizar esa información para ajustar su instrucción. Las preguntas de exploración —'¿Cómo llegaste a esa conclusión?', '¿Qué estrategia utilizaste para resolver este problema?', '¿Qué pasaría si…?'— son especialmente valiosas en este sentido.</w:t>
      </w:r>
    </w:p>
    <w:p>
      <w:pPr>
        <w:spacing w:before="60" w:after="80" w:line="360" w:lineRule="auto"/>
        <w:jc w:val="both"/>
      </w:pPr>
      <w:r>
        <w:rPr>
          <w:rFonts w:ascii="Calibri" w:hAnsi="Calibri"/>
          <w:b w:val="0"/>
          <w:i w:val="0"/>
          <w:sz w:val="21"/>
        </w:rPr>
        <w:t>El análisis de los errores del estudiante como fuente de información diagnóstica es una práctica de evaluación formativa de alta sofisticación pedagógica que transforma los errores de obstáculos del aprendizaje en ventanas de comprensión. Un error no es un fracaso: es una evidencia de la manera en que el estudiante está procesando la información y de en qué punto específico su comprensión se desvía de la comprensión correcta. El análisis sistemático de los errores más frecuentes de un grupo de estudiantes permite al docente identificar los patrones de malentendido que son más productivos de abordar directamente en la instrucción.</w:t>
      </w:r>
    </w:p>
    <w:p>
      <w:pPr>
        <w:spacing w:before="60" w:after="80" w:line="360" w:lineRule="auto"/>
        <w:jc w:val="both"/>
      </w:pPr>
      <w:r>
        <w:rPr>
          <w:rFonts w:ascii="Calibri" w:hAnsi="Calibri"/>
          <w:b w:val="0"/>
          <w:i w:val="0"/>
          <w:sz w:val="21"/>
        </w:rPr>
        <w:t>La frecuencia de la evaluación formativa en los programas de recuperación debe ser suficientemente alta para que el docente pueda ajustar su instrucción antes de que los estudiantes avancen demasiado en la dirección equivocada. En general, los programas de recuperación más efectivos incluyen algún tipo de evaluación formativa breve en cada sesión —por ejemplo, la técnica de salida que toma no más de tres minutos—, una evaluación formativa más comprehensiva al final de cada semana o de cada unidad, y una revisión del mapa de brechas cada dos o tres semanas para verificar el progreso del grupo.</w:t>
      </w:r>
    </w:p>
    <w:p>
      <w:pPr>
        <w:spacing w:before="60" w:after="80" w:line="360" w:lineRule="auto"/>
        <w:jc w:val="both"/>
      </w:pPr>
      <w:r>
        <w:rPr>
          <w:rFonts w:ascii="Calibri" w:hAnsi="Calibri"/>
          <w:b w:val="0"/>
          <w:i w:val="0"/>
          <w:sz w:val="21"/>
        </w:rPr>
        <w:t>La evaluación formativa en entornos virtuales o híbridos —el contexto en el que muchos programas de recuperación post-pandémica se implementan en Panamá— requiere adaptaciones específicas que aprovechen el potencial de las herramientas digitales. Los formularios de respuesta en línea (Google Forms, Canvas Quiz), los sistemas de respuesta en tiempo real (Kahoot, Mentimeter), las plataformas de retroalimentación asincrónica y los portafolios digitales son herramientas que permiten al docente implementar estrategias de evaluación formativa eficaces en contextos donde la interacción presencial es limitada o imposible.</w:t>
      </w:r>
    </w:p>
    <w:p>
      <w:pPr>
        <w:spacing w:before="60" w:after="80" w:line="360" w:lineRule="auto"/>
        <w:jc w:val="both"/>
      </w:pPr>
      <w:r>
        <w:rPr>
          <w:rFonts w:ascii="Calibri" w:hAnsi="Calibri"/>
          <w:b w:val="0"/>
          <w:i w:val="0"/>
          <w:sz w:val="21"/>
        </w:rPr>
        <w:t>La evaluación formativa orientada al bienestar socioemocional del estudiante —la evaluación que monitorea no solo el progreso académico sino también el nivel de estrés, la autoeficacia y el estado emocional del estudiante durante el proceso de recuperación— es una dimensión frecuentemente descuidada que tiene consecuencias importantes sobre la efectividad de la intervención. Un estudiante que está progresando académicamente pero que está experimentando niveles elevados de estrés o de ansiedad académica puede estar comprometiendo su bienestar de maneras que reducirán su rendimiento a mediano plazo.</w:t>
      </w:r>
    </w:p>
    <w:p/>
    <w:p>
      <w:pPr>
        <w:keepNext/>
        <w:spacing w:before="240" w:after="100"/>
        <w:jc w:val="left"/>
      </w:pPr>
      <w:r>
        <w:rPr>
          <w:rFonts w:ascii="Calibri" w:hAnsi="Calibri"/>
          <w:b/>
          <w:color w:val="12265B"/>
          <w:sz w:val="26"/>
        </w:rPr>
        <w:t>Unidad 3: Instrumentos de diagnóstico diferenciados: diseño y adaptación para la recuperación</w:t>
      </w:r>
    </w:p>
    <w:p>
      <w:pPr>
        <w:spacing w:before="40" w:after="100" w:line="360" w:lineRule="auto"/>
        <w:jc w:val="both"/>
      </w:pPr>
      <w:r>
        <w:rPr>
          <w:rFonts w:ascii="Calibri" w:hAnsi="Calibri"/>
          <w:b w:val="0"/>
          <w:i/>
          <w:sz w:val="20"/>
        </w:rPr>
        <w:t>Objetivo: Diseñar y adaptar instrumentos de diagnóstico diferenciados adecuados para el nivel educativo y el contexto específico del participante. — Bloom: Crear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diseño de instrumentos de diagnóstico diferenciados para la recuperación de aprendizajes es una de las competencias pedagógicas más complejas y más relevantes que este Diplomado propone desarrollar. Un instrumento de diagnóstico bien diseñado no es simplemente una 'prueba de diagnóstico' tomada de un libro de texto: es un instrumento específicamente calibrado para detectar las brechas de aprendizaje más relevantes para el nivel educativo y el contexto específico del grupo de estudiantes, capaz de proporcionar información que el docente pueda utilizar de inmediato para tomar decisiones pedagógicas.</w:t>
      </w:r>
    </w:p>
    <w:p>
      <w:pPr>
        <w:spacing w:before="60" w:after="80" w:line="360" w:lineRule="auto"/>
        <w:jc w:val="both"/>
      </w:pPr>
      <w:r>
        <w:rPr>
          <w:rFonts w:ascii="Calibri" w:hAnsi="Calibri"/>
          <w:b w:val="0"/>
          <w:i w:val="0"/>
          <w:sz w:val="21"/>
        </w:rPr>
        <w:t>Los principios de diseño de instrumentos de diagnóstico diferenciados incluyen: la validez —el instrumento debe medir exactamente las competencias que se quiere diagnosticar, sin confundir el diagnóstico de la competencia con el diagnóstico de la capacidad de responder ese tipo específico de instrumento—, la confiabilidad —los resultados deben ser consistentes cuando el instrumento es aplicado en condiciones similares—, la sensibilidad —el instrumento debe ser capaz de detectar diferencias entre estudiantes con distintos niveles de dominio de la competencia diagnosticada—, y la practicidad —el instrumento debe ser administrable por el docente de aula sin necesidad de equipos especializados ni de tiempo excesivo.</w:t>
      </w:r>
    </w:p>
    <w:p>
      <w:pPr>
        <w:spacing w:before="60" w:after="80" w:line="360" w:lineRule="auto"/>
        <w:jc w:val="both"/>
      </w:pPr>
      <w:r>
        <w:rPr>
          <w:rFonts w:ascii="Calibri" w:hAnsi="Calibri"/>
          <w:b w:val="0"/>
          <w:i w:val="0"/>
          <w:sz w:val="21"/>
        </w:rPr>
        <w:t>Las evaluaciones basadas en observación son los instrumentos de diagnóstico más potentes para los niveles de preescolar y primaria porque permiten capturar el proceso de aprendizaje del estudiante en contextos naturales de juego y actividad, sin la distorsión que producen los formatos de prueba tradicionales en niños y niñas pequeños que aún no tienen las habilidades de lecto-escritura necesarias para responder una evaluación escrita de manera independiente. Las listas de verificación de observación, las escalas de desarrollo y los protocolos de observación sistemática son los instrumentos de observación más frecuentemente utilizados en diagnóstico educativo.</w:t>
      </w:r>
    </w:p>
    <w:p>
      <w:pPr>
        <w:spacing w:before="60" w:after="80" w:line="360" w:lineRule="auto"/>
        <w:jc w:val="both"/>
      </w:pPr>
      <w:r>
        <w:rPr>
          <w:rFonts w:ascii="Calibri" w:hAnsi="Calibri"/>
          <w:b w:val="0"/>
          <w:i w:val="0"/>
          <w:sz w:val="21"/>
        </w:rPr>
        <w:t>Las evaluaciones basadas en producción del estudiante —textos escritos, soluciones de problemas matemáticos, presentaciones orales, proyectos de investigación— proporcionan información diagnóstica sobre los procesos de pensamiento del estudiante que las evaluaciones de reconocimiento (opciones múltiples, verdadero-falso) no pueden capturar. Analizar pedagógicamente una producción del estudiante —identificar qué comprende, qué no comprende y cómo está procesando la información— es una habilidad diagnóstica de alta sofisticación que el docente de recuperación debe desarrollar sistemáticamente.</w:t>
      </w:r>
    </w:p>
    <w:p>
      <w:pPr>
        <w:spacing w:before="60" w:after="80" w:line="360" w:lineRule="auto"/>
        <w:jc w:val="both"/>
      </w:pPr>
      <w:r>
        <w:rPr>
          <w:rFonts w:ascii="Calibri" w:hAnsi="Calibri"/>
          <w:b w:val="0"/>
          <w:i w:val="0"/>
          <w:sz w:val="21"/>
        </w:rPr>
        <w:t>Los tests de velocidad lectora y comprensión —como el EGRA (Early Grade Reading Assessment) desarrollado por USAID/RTI— son instrumentos de diagnóstico específicamente diseñados para evaluar las competencias de lectura en los primeros grados de la educación básica y son especialmente relevantes para el diagnóstico de las brechas de lectoescritura que son las más frecuentes en los programas de recuperación post-pandémica en Panamá. Estos instrumentos han sido validados en múltiples países latinoamericanos y pueden adaptarse al currículo y al contexto panameño.</w:t>
      </w:r>
    </w:p>
    <w:p>
      <w:pPr>
        <w:spacing w:before="60" w:after="80" w:line="360" w:lineRule="auto"/>
        <w:jc w:val="both"/>
      </w:pPr>
      <w:r>
        <w:rPr>
          <w:rFonts w:ascii="Calibri" w:hAnsi="Calibri"/>
          <w:b w:val="0"/>
          <w:i w:val="0"/>
          <w:sz w:val="21"/>
        </w:rPr>
        <w:t>La adaptación de los instrumentos de diagnóstico para estudiantes con necesidades educativas especiales es una dimensión técnica y ética fundamental del diseño de evaluaciones en recuperación. La Ley 15 de 2016 de Panamá establece que los estudiantes con necesidades educativas especiales tienen derecho a recibir ajustes razonables en los procesos de evaluación, lo que implica que los instrumentos de diagnóstico del programa de recuperación deben poder ser adaptados —en formato, en tiempo de aplicación, en modo de respuesta— para garantizar la participación plena de todos los estudiantes.</w:t>
      </w:r>
    </w:p>
    <w:p>
      <w:pPr>
        <w:spacing w:before="60" w:after="80" w:line="360" w:lineRule="auto"/>
        <w:jc w:val="both"/>
      </w:pPr>
      <w:r>
        <w:rPr>
          <w:rFonts w:ascii="Calibri" w:hAnsi="Calibri"/>
          <w:b w:val="0"/>
          <w:i w:val="0"/>
          <w:sz w:val="21"/>
        </w:rPr>
        <w:t>El diagnóstico de las competencias matemáticas en recuperación requiere instrumentos que vayan más allá de la medición de la corrección de los cálculos y que evalúen la comprensión conceptual de los números, las operaciones, las relaciones y las funciones. Un estudiante que puede ejecutar un algoritmo de multiplicación de manera mecánica sin entender el concepto de multiplicación que subyace al procedimiento ha adquirido solo una comprensión superficial que no le permitirá transferir ese conocimiento a nuevos contextos. Los instrumentos de diagnóstico matemático deben incluir situaciones de resolución de problemas en contextos significativos y preguntas de explicación del razonamiento.</w:t>
      </w:r>
    </w:p>
    <w:p>
      <w:pPr>
        <w:spacing w:before="60" w:after="80" w:line="360" w:lineRule="auto"/>
        <w:jc w:val="both"/>
      </w:pPr>
      <w:r>
        <w:rPr>
          <w:rFonts w:ascii="Calibri" w:hAnsi="Calibri"/>
          <w:b w:val="0"/>
          <w:i w:val="0"/>
          <w:sz w:val="21"/>
        </w:rPr>
        <w:t>El diagnóstico del desarrollo socioemocional —las competencias de autoconciencia, autorregulación, conciencia social, habilidades relacionales y toma de decisiones responsable— es una dimensión del diagnóstico en recuperación que suele omitirse por la presión de las demandas curriculares, pero que es de especial importancia en el período post-pandémico. Los docentes que han desarrollado competencias de observación del comportamiento socioemocional de sus estudiantes tienen una ventaja diagnóstica enorme: pueden identificar a tiempo qué estudiantes necesitan apoyo emocional adicional para que el apoyo académico sea efectivo.</w:t>
      </w:r>
    </w:p>
    <w:p>
      <w:pPr>
        <w:spacing w:before="60" w:after="80" w:line="360" w:lineRule="auto"/>
        <w:jc w:val="both"/>
      </w:pPr>
      <w:r>
        <w:rPr>
          <w:rFonts w:ascii="Calibri" w:hAnsi="Calibri"/>
          <w:b w:val="0"/>
          <w:i w:val="0"/>
          <w:sz w:val="21"/>
        </w:rPr>
        <w:t>El diagnóstico de las competencias lingüísticas en el contexto panameño de multiculturalidad e interculturalidad requiere sensibilidad especial hacia la situación lingüística de los estudiantes. Para los estudiantes cuya lengua materna no es el español —los estudiantes indígenas de las comarcas, los estudiantes de familias migrantes—, las brechas aparentes en comprensión lectora o en expresión oral en español pueden ser en realidad indicadores de bilingüismo emergente y no de dificultades de aprendizaje intrínsecas. El docente de recuperación necesita distinguir entre estos dos tipos de 'brecha' porque requieren intervenciones completamente diferentes.</w:t>
      </w:r>
    </w:p>
    <w:p>
      <w:pPr>
        <w:spacing w:before="60" w:after="80" w:line="360" w:lineRule="auto"/>
        <w:jc w:val="both"/>
      </w:pPr>
      <w:r>
        <w:rPr>
          <w:rFonts w:ascii="Calibri" w:hAnsi="Calibri"/>
          <w:b w:val="0"/>
          <w:i w:val="0"/>
          <w:sz w:val="21"/>
        </w:rPr>
        <w:t>La construcción de un banco de ítems de evaluación diagnóstica para el nivel educativo y el contexto específico del participante es uno de los proyectos más valiosos que puede emprender el docente de recuperación, tanto individualmente como en colaboración con sus colegas del centro educativo. Un banco de ítems bien organizado —con ítems clasificados por competencia, nivel de dificultad, tipo de respuesta y nivel de Bloom— permite al docente construir instrumentos de diagnóstico diferenciados de manera eficiente, seleccionando exactamente los ítems que son más informativos para las brechas específicas que necesita diagnosticar en cada momento del programa de recuperación.</w:t>
      </w:r>
    </w:p>
    <w:p>
      <w:pPr>
        <w:spacing w:before="60" w:after="80" w:line="360" w:lineRule="auto"/>
        <w:jc w:val="both"/>
      </w:pPr>
      <w:r>
        <w:rPr>
          <w:rFonts w:ascii="Calibri" w:hAnsi="Calibri"/>
          <w:b w:val="0"/>
          <w:i w:val="0"/>
          <w:sz w:val="21"/>
        </w:rPr>
        <w:t>La validación de los instrumentos de diagnóstico —el proceso de verificar que el instrumento diseñado efectivamente mide lo que el docente quiere medir— puede realizarse de manera práctica y accesible para el docente de aula a través de dos procedimientos: la validación de contenido —solicitar a un colega con mayor experiencia o al equipo de orientación del centro que revise el instrumento para verificar que los ítems son coherentes con los estándares curriculares y con las brechas específicas que se quiere diagnosticar—, y la validación empírica —aplicar el instrumento a un grupo pequeño de estudiantes y analizar si los resultados son informativos y si los ítems distinguen efectivamente entre diferentes niveles de dominio.</w:t>
      </w:r>
    </w:p>
    <w:p>
      <w:pPr>
        <w:spacing w:before="60" w:after="80" w:line="360" w:lineRule="auto"/>
        <w:jc w:val="both"/>
      </w:pPr>
      <w:r>
        <w:rPr>
          <w:rFonts w:ascii="Calibri" w:hAnsi="Calibri"/>
          <w:b w:val="0"/>
          <w:i w:val="0"/>
          <w:sz w:val="21"/>
        </w:rPr>
        <w:t>La retroalimentación del instrumento diagnóstico hacia el estudiante —comunicarle de manera comprensible qué reveló el diagnóstico sobre sus fortalezas y sus brechas y qué se hará con esa información— es la práctica que transforma el diagnóstico de una actividad de medición unidireccional en una experiencia de aprendizaje bidireccional. Cuando el estudiante comprende para qué sirve el diagnóstico, cómo se usarán sus resultados para apoyarlo y qué rol puede jugar él mismo en el proceso de recuperación, su disposición a participar activamente y a utilizar la retroalimentación diagnóstica para orientar su propio aprendizaje aumenta significativamente.</w:t>
      </w:r>
    </w:p>
    <w:p/>
    <w:p>
      <w:pPr>
        <w:keepNext/>
        <w:spacing w:before="240" w:after="100"/>
        <w:jc w:val="left"/>
      </w:pPr>
      <w:r>
        <w:rPr>
          <w:rFonts w:ascii="Calibri" w:hAnsi="Calibri"/>
          <w:b/>
          <w:color w:val="12265B"/>
          <w:sz w:val="26"/>
        </w:rPr>
        <w:t>Unidad 4: Construcción del mapa de brechas de aprendizaje: análisis e interpretación de datos diagnósticos</w:t>
      </w:r>
    </w:p>
    <w:p>
      <w:pPr>
        <w:spacing w:before="40" w:after="100" w:line="360" w:lineRule="auto"/>
        <w:jc w:val="both"/>
      </w:pPr>
      <w:r>
        <w:rPr>
          <w:rFonts w:ascii="Calibri" w:hAnsi="Calibri"/>
          <w:b w:val="0"/>
          <w:i/>
          <w:sz w:val="20"/>
        </w:rPr>
        <w:t>Objetivo: Construir e interpretar un mapa de brechas de aprendizaje a partir de los datos diagnósticos recogidos sobre el grupo de estudiantes, identificando patrones y prioridades para la intervención.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El mapa de brechas de aprendizaje es el instrumento de análisis diagnóstico más útil para el diseño de intervenciones de recuperación diferenciadas porque organiza la información del diagnóstico de manera que permite al docente ver simultáneamente los patrones de brecha más frecuentes —que orientarán las intervenciones grupales— y los casos individuales más complejos —que requerirán atención más específica. Un mapa de brechas bien construido responde de manera visual e intuitiva a la pregunta central de todo programa de recuperación: ¿quién necesita qué y con qué urgencia?</w:t>
      </w:r>
    </w:p>
    <w:p>
      <w:pPr>
        <w:spacing w:before="60" w:after="80" w:line="360" w:lineRule="auto"/>
        <w:jc w:val="both"/>
      </w:pPr>
      <w:r>
        <w:rPr>
          <w:rFonts w:ascii="Calibri" w:hAnsi="Calibri"/>
          <w:b w:val="0"/>
          <w:i w:val="0"/>
          <w:sz w:val="21"/>
        </w:rPr>
        <w:t>La construcción del mapa de brechas requiere tres pasos metodológicos secuenciales: la recolección de los datos diagnósticos mediante los instrumentos diseñados en la unidad anterior, el análisis de los datos para identificar qué competencias específicas presenta déficit cada estudiante y en qué nivel de dominio se encuentra —'no iniciado', 'en proceso' o 'consolidado'—, y la visualización de los hallazgos en un formato gráfico que permita identificar de un vistazo los patrones más relevantes.</w:t>
      </w:r>
    </w:p>
    <w:p>
      <w:pPr>
        <w:spacing w:before="60" w:after="80" w:line="360" w:lineRule="auto"/>
        <w:jc w:val="both"/>
      </w:pPr>
      <w:r>
        <w:rPr>
          <w:rFonts w:ascii="Calibri" w:hAnsi="Calibri"/>
          <w:b w:val="0"/>
          <w:i w:val="0"/>
          <w:sz w:val="21"/>
        </w:rPr>
        <w:t>El formato más sencillo y más efectivo del mapa de brechas es una tabla de doble entrada: en las filas se ubican los estudiantes del grupo; en las columnas se ubican las competencias diagnosticadas. En cada celda de la tabla se indica el nivel de dominio del estudiante en esa competencia, usando un código de color o un símbolo simple: verde para 'consolidado', amarillo para 'en proceso' y rojo para 'no iniciado'. Una mirada rápida a esta tabla permite al docente identificar qué competencias tienen el mayor número de celdas rojas —las prioridades de intervención grupal— y qué estudiantes tienen el mayor número de celdas rojas —los casos de mayor rezago acumulado.</w:t>
      </w:r>
    </w:p>
    <w:p>
      <w:pPr>
        <w:spacing w:before="60" w:after="80" w:line="360" w:lineRule="auto"/>
        <w:jc w:val="both"/>
      </w:pPr>
      <w:r>
        <w:rPr>
          <w:rFonts w:ascii="Calibri" w:hAnsi="Calibri"/>
          <w:b w:val="0"/>
          <w:i w:val="0"/>
          <w:sz w:val="21"/>
        </w:rPr>
        <w:t>El análisis de los patrones de brecha es el paso analítico central de la construcción del mapa: identificar si las brechas se concentran en un tipo específico de competencia para la mayoría del grupo —lo que sugiere un problema de instrucción anterior a nivel grupal—, o si se distribuyen de manera irregular entre los estudiantes —lo que sugiere que factores individuales o contextuales específicos están influyendo—. Esta distinción es fundamental para decidir si la intervención de recuperación más eficiente es grupal o individualizada.</w:t>
      </w:r>
    </w:p>
    <w:p>
      <w:pPr>
        <w:spacing w:before="60" w:after="80" w:line="360" w:lineRule="auto"/>
        <w:jc w:val="both"/>
      </w:pPr>
      <w:r>
        <w:rPr>
          <w:rFonts w:ascii="Calibri" w:hAnsi="Calibri"/>
          <w:b w:val="0"/>
          <w:i w:val="0"/>
          <w:sz w:val="21"/>
        </w:rPr>
        <w:t>La interpretación de los datos diagnósticos requiere que el docente considere múltiples hipótesis sobre las causas de los patrones de brecha observados antes de elegir la intervención más apropiada. Una brecha generalizada en comprensión lectora en un grupo puede deberse a problemas de decodificación —los estudiantes no leen con fluidez suficiente para destinar atención cognitiva a la comprensión—, o a problemas de vocabulario —los textos utilizan palabras desconocidas para los estudiantes—, o a problemas de estrategia lectora —los estudiantes no tienen herramientas para inferir, resumir o identificar la idea principal—, o a una combinación de estos factores. Cada causa requiere una intervención diferente.</w:t>
      </w:r>
    </w:p>
    <w:p>
      <w:pPr>
        <w:spacing w:before="60" w:after="80" w:line="360" w:lineRule="auto"/>
        <w:jc w:val="both"/>
      </w:pPr>
      <w:r>
        <w:rPr>
          <w:rFonts w:ascii="Calibri" w:hAnsi="Calibri"/>
          <w:b w:val="0"/>
          <w:i w:val="0"/>
          <w:sz w:val="21"/>
        </w:rPr>
        <w:t>La actualización periódica del mapa de brechas —idealmente cada dos o tres semanas a lo largo del programa de recuperación— es la práctica que transforma el mapa de un documento de diagnóstico inicial en una herramienta de monitoreo continuo del progreso. La actualización permite verificar si los estudiantes están avanzando desde las celdas rojas hacia las amarillas y desde las amarillas hacia las verdes, identificar los casos en que la intervención no está produciendo el progreso esperado y ajustar las estrategias en función de la evidencia acumulada.</w:t>
      </w:r>
    </w:p>
    <w:p>
      <w:pPr>
        <w:spacing w:before="60" w:after="80" w:line="360" w:lineRule="auto"/>
        <w:jc w:val="both"/>
      </w:pPr>
      <w:r>
        <w:rPr>
          <w:rFonts w:ascii="Calibri" w:hAnsi="Calibri"/>
          <w:b w:val="0"/>
          <w:i w:val="0"/>
          <w:sz w:val="21"/>
        </w:rPr>
        <w:t>El mapa de brechas como herramienta de comunicación con el equipo docente del centro educativo es una aplicación frecuentemente subutilizada de este instrumento. Cuando el docente de recuperación comparte el mapa de brechas con los demás docentes que trabajan con los mismos estudiantes —el docente de otra asignatura, el orientador, el docente de educación especial—, se genera un entendimiento compartido de las necesidades del grupo que facilita la coordinación de las intervenciones y evita la duplicación de esfuerzos o las intervenciones contradictorias.</w:t>
      </w:r>
    </w:p>
    <w:p>
      <w:pPr>
        <w:spacing w:before="60" w:after="80" w:line="360" w:lineRule="auto"/>
        <w:jc w:val="both"/>
      </w:pPr>
      <w:r>
        <w:rPr>
          <w:rFonts w:ascii="Calibri" w:hAnsi="Calibri"/>
          <w:b w:val="0"/>
          <w:i w:val="0"/>
          <w:sz w:val="21"/>
        </w:rPr>
        <w:t>El mapa de brechas como herramienta de comunicación con las familias puede usarse —con la adecuada protección de la privacidad de cada estudiante— para que las familias comprendan en términos concretos y visuales dónde se encuentra su hijo en el proceso de recuperación y hacia dónde se dirige el programa de intervención. Una versión simplificada del mapa de brechas —que muestre solo las competencias en proceso de recuperación para el estudiante específico, sin datos de otros compañeros— puede ser una herramienta poderosa para la comunicación con las familias en las reuniones de seguimiento del programa de recuperación.</w:t>
      </w:r>
    </w:p>
    <w:p>
      <w:pPr>
        <w:spacing w:before="60" w:after="80" w:line="360" w:lineRule="auto"/>
        <w:jc w:val="both"/>
      </w:pPr>
      <w:r>
        <w:rPr>
          <w:rFonts w:ascii="Calibri" w:hAnsi="Calibri"/>
          <w:b w:val="0"/>
          <w:i w:val="0"/>
          <w:sz w:val="21"/>
        </w:rPr>
        <w:t>La priorización de las brechas para la intervención, a partir del mapa construido, debe considerar la interacción entre tres criterios: el impacto de la brecha sobre el aprendizaje posterior —las competencias fundamentales que son prerequisito de muchas otras tienen mayor prioridad—, la frecuencia de la brecha —las competencias en déficit para el mayor número de estudiantes justifican intervenciones grupales más eficientes—, y la viabilidad de la intervención en el contexto específico del centro educativo —las brechas para las que existen estrategias accesibles, materiales disponibles y tiempo suficiente tienen mayor prioridad.</w:t>
      </w:r>
    </w:p>
    <w:p>
      <w:pPr>
        <w:spacing w:before="60" w:after="80" w:line="360" w:lineRule="auto"/>
        <w:jc w:val="both"/>
      </w:pPr>
      <w:r>
        <w:rPr>
          <w:rFonts w:ascii="Calibri" w:hAnsi="Calibri"/>
          <w:b w:val="0"/>
          <w:i w:val="0"/>
          <w:sz w:val="21"/>
        </w:rPr>
        <w:t>El mapa de brechas como herramienta de diseño del agrupamiento para la recuperación permite al docente organizar a los estudiantes del grupo en subgrupos de similares necesidades de recuperación, para que las intervenciones de pequeño grupo sean lo más eficientes posible. Los subgrupos de recuperación no son grupos permanentes ni estigmatizantes: son agrupamientos flexibles y temporales, basados en la necesidad específica que se está trabajando en ese momento del programa, que se reorganizan a medida que los estudiantes van adquiriendo las competencias trabajadas.</w:t>
      </w:r>
    </w:p>
    <w:p>
      <w:pPr>
        <w:spacing w:before="60" w:after="80" w:line="360" w:lineRule="auto"/>
        <w:jc w:val="both"/>
      </w:pPr>
      <w:r>
        <w:rPr>
          <w:rFonts w:ascii="Calibri" w:hAnsi="Calibri"/>
          <w:b w:val="0"/>
          <w:i w:val="0"/>
          <w:sz w:val="21"/>
        </w:rPr>
        <w:t>La integración del mapa de brechas en la planificación pedagógica cotidiana del docente —usando los datos del mapa para tomar decisiones sobre qué competencias priorizar en cada clase, qué estrategias utilizar para qué subgrupos, cuánto tiempo dedicar a la instrucción grupal y cuánto a la atención individualizada— es la práctica que transforma el mapa de un documento de diagnóstico en un instrumento pedagógico vivo que orienta la acción docente diaria en el programa de recuperación.</w:t>
      </w:r>
    </w:p>
    <w:p>
      <w:pPr>
        <w:spacing w:before="60" w:after="80" w:line="360" w:lineRule="auto"/>
        <w:jc w:val="both"/>
      </w:pPr>
      <w:r>
        <w:rPr>
          <w:rFonts w:ascii="Calibri" w:hAnsi="Calibri"/>
          <w:b w:val="0"/>
          <w:i w:val="0"/>
          <w:sz w:val="21"/>
        </w:rPr>
        <w:t>La reflexión sobre el propio proceso de construcción e interpretación del mapa de brechas —identificar qué funcionó bien, qué fue difícil, qué preguntas quedaron sin respuesta, qué información adicional sería necesaria para tomar mejores decisiones pedagógicas— es el tipo de reflexión metacognitiva que desarrolla la capacidad diagnóstica del docente a lo largo del tiempo. Un docente que aprende sistemáticamente de su propia experiencia diagnóstica se convierte, con el tiempo, en un experto en diagnóstico pedagógico que puede identificar y atender las brechas de sus estudiantes con creciente precisión y efectividad.</w:t>
      </w:r>
    </w:p>
    <w:p/>
    <w:p>
      <w:pPr>
        <w:keepNext/>
        <w:spacing w:before="240" w:after="100"/>
        <w:jc w:val="left"/>
      </w:pPr>
      <w:r>
        <w:rPr>
          <w:rFonts w:ascii="Calibri" w:hAnsi="Calibri"/>
          <w:b/>
          <w:color w:val="12265B"/>
          <w:sz w:val="26"/>
        </w:rPr>
        <w:t>Unidad 5: Diseño de instrumentos de evaluación formativa para el seguimiento del progreso en recuperación</w:t>
      </w:r>
    </w:p>
    <w:p>
      <w:pPr>
        <w:spacing w:before="40" w:after="100" w:line="360" w:lineRule="auto"/>
        <w:jc w:val="both"/>
      </w:pPr>
      <w:r>
        <w:rPr>
          <w:rFonts w:ascii="Calibri" w:hAnsi="Calibri"/>
          <w:b w:val="0"/>
          <w:i/>
          <w:sz w:val="20"/>
        </w:rPr>
        <w:t>Objetivo: Diseñar instrumentos de evaluación formativa específicamente orientados al seguimiento del progreso de los estudiantes durante el programa de recuperación. — Bloom: Crear / Aplicar</w:t>
      </w:r>
    </w:p>
    <w:p>
      <w:pPr>
        <w:pBdr>
          <w:bottom w:val="single" w:sz="2" w:space="1" w:color="888888"/>
        </w:pBdr>
        <w:spacing w:before="40" w:after="40"/>
      </w:pPr>
    </w:p>
    <w:p>
      <w:pPr>
        <w:spacing w:before="60" w:after="80" w:line="360" w:lineRule="auto"/>
        <w:jc w:val="both"/>
      </w:pPr>
      <w:r>
        <w:rPr>
          <w:rFonts w:ascii="Calibri" w:hAnsi="Calibri"/>
          <w:b w:val="0"/>
          <w:i w:val="0"/>
          <w:sz w:val="21"/>
        </w:rPr>
        <w:t>El diseño de instrumentos de evaluación formativa para el seguimiento del progreso en recuperación es diferente del diseño de evaluaciones sumativas convencionales en varios aspectos fundamentales. Los instrumentos de seguimiento en recuperación deben ser: de administración breve —no más de cinco a diez minutos— para no interrumpir el flujo del proceso de aprendizaje; de corrección inmediata —el docente debe poder interpretar los resultados en el momento o pocos minutos después— para que la información sea útil para ajustar la instrucción de esa misma sesión; y de interpretación directa —deben indicar con claridad qué competencias específicas ha alcanzado el estudiante y cuáles siguen en proceso, sin necesidad de análisis estadísticos complejos.</w:t>
      </w:r>
    </w:p>
    <w:p>
      <w:pPr>
        <w:spacing w:before="60" w:after="80" w:line="360" w:lineRule="auto"/>
        <w:jc w:val="both"/>
      </w:pPr>
      <w:r>
        <w:rPr>
          <w:rFonts w:ascii="Calibri" w:hAnsi="Calibri"/>
          <w:b w:val="0"/>
          <w:i w:val="0"/>
          <w:sz w:val="21"/>
        </w:rPr>
        <w:t>Las técnicas de 'salida de clase' (exit tickets) son los instrumentos de seguimiento formativo de más amplio uso en los programas de recuperación de aprendizajes porque combinan una alta especificidad diagnóstica con una logística de aplicación mínima. Una técnica de salida efectiva consiste en una o dos preguntas específicas sobre la competencia trabajada en la sesión, respondidas por el estudiante en los últimos tres minutos de la clase en una tarjeta o un pedazo de papel que entrega al docente al salir. El análisis de las respuestas proporciona al docente información inmediata sobre qué porcentaje del grupo alcanzó la comprensión esperada y qué ajustes necesita hacer en la siguiente sesión.</w:t>
      </w:r>
    </w:p>
    <w:p>
      <w:pPr>
        <w:spacing w:before="60" w:after="80" w:line="360" w:lineRule="auto"/>
        <w:jc w:val="both"/>
      </w:pPr>
      <w:r>
        <w:rPr>
          <w:rFonts w:ascii="Calibri" w:hAnsi="Calibri"/>
          <w:b w:val="0"/>
          <w:i w:val="0"/>
          <w:sz w:val="21"/>
        </w:rPr>
        <w:t>Las listas de verificación de dominio de competencias (mastery checklists) son instrumentos de seguimiento formativo especialmente útiles en los programas de recuperación basados en el modelo de mastery learning, porque permiten registrar de manera sistemática qué competencias específicas ha demostrado dominar cada estudiante y cuáles le faltan todavía. Cada estudiante tiene su propia lista de verificación, que va marcando con su docente a medida que demuestra el dominio de cada competencia en las evaluaciones formativas sucesivas. Esta lista sirve como contrato pedagógico implícito —el estudiante sabe exactamente qué le falta y qué evidencias debe producir para que la competencia sea marcada como lograda.</w:t>
      </w:r>
    </w:p>
    <w:p>
      <w:pPr>
        <w:spacing w:before="60" w:after="80" w:line="360" w:lineRule="auto"/>
        <w:jc w:val="both"/>
      </w:pPr>
      <w:r>
        <w:rPr>
          <w:rFonts w:ascii="Calibri" w:hAnsi="Calibri"/>
          <w:b w:val="0"/>
          <w:i w:val="0"/>
          <w:sz w:val="21"/>
        </w:rPr>
        <w:t>Las rúbricas de seguimiento de la recuperación son versiones simplificadas de las rúbricas de evaluación convencionales, diseñadas específicamente para describir los niveles de dominio de una competencia de recuperación de manera que el docente pueda identificar rápidamente en qué nivel se encuentra cada estudiante después de cada actividad pedagógica. Una rúbrica de seguimiento efectiva tiene entre tres y cuatro niveles de dominio claramente descritos con criterios observables —'puede identificar la idea principal de un texto sin apoyo del docente', 'puede identificar la idea principal con apoyo de preguntas guía', 'no puede identificar la idea principal aun con apoyo'—, y puede ser usada tanto por el docente como por el propio estudiante para la autoevaluación.</w:t>
      </w:r>
    </w:p>
    <w:p>
      <w:pPr>
        <w:spacing w:before="60" w:after="80" w:line="360" w:lineRule="auto"/>
        <w:jc w:val="both"/>
      </w:pPr>
      <w:r>
        <w:rPr>
          <w:rFonts w:ascii="Calibri" w:hAnsi="Calibri"/>
          <w:b w:val="0"/>
          <w:i w:val="0"/>
          <w:sz w:val="21"/>
        </w:rPr>
        <w:t>Los cuadernos de seguimiento del estudiante —registros personales donde el estudiante documenta su propio progreso en el programa de recuperación— son instrumentos de evaluación formativa de gran potencial para el desarrollo de la metacognición y la autorregulación del aprendizaje. Un cuaderno de seguimiento efectivo incluye: las metas de recuperación del estudiante expresadas en términos concretos y comprensibles, un espacio para registrar después de cada sesión qué aprendió el estudiante y qué preguntas le quedaron, y una sección para que el estudiante evalúe semanalmente su propio progreso en relación con sus metas.</w:t>
      </w:r>
    </w:p>
    <w:p>
      <w:pPr>
        <w:spacing w:before="60" w:after="80" w:line="360" w:lineRule="auto"/>
        <w:jc w:val="both"/>
      </w:pPr>
      <w:r>
        <w:rPr>
          <w:rFonts w:ascii="Calibri" w:hAnsi="Calibri"/>
          <w:b w:val="0"/>
          <w:i w:val="0"/>
          <w:sz w:val="21"/>
        </w:rPr>
        <w:t>Las conversaciones de seguimiento —entrevistas breves de tres a cinco minutos entre el docente y el estudiante, realizadas periódicamente a lo largo del programa de recuperación— son una de las técnicas de evaluación formativa de mayor poder informativo porque permiten al docente acceder directamente al razonamiento del estudiante, a su comprensión del proceso de recuperación y a los obstáculos que está encontrando, que no siempre son visibles en las respuestas escritas. Una conversación de seguimiento efectiva incluye preguntas como: '¿Qué es lo que entiendes mejor ahora en comparación con hace dos semanas?', '¿En qué sigues encontrando dificultades?', '¿Qué te ayudó a entender mejor?'.</w:t>
      </w:r>
    </w:p>
    <w:p>
      <w:pPr>
        <w:spacing w:before="60" w:after="80" w:line="360" w:lineRule="auto"/>
        <w:jc w:val="both"/>
      </w:pPr>
      <w:r>
        <w:rPr>
          <w:rFonts w:ascii="Calibri" w:hAnsi="Calibri"/>
          <w:b w:val="0"/>
          <w:i w:val="0"/>
          <w:sz w:val="21"/>
        </w:rPr>
        <w:t>Los sistemas de reconocimiento del progreso —estrategias para hacer visible y celebrar el progreso de los estudiantes en el programa de recuperación, incluso cuando ese progreso es parcial— son componentes de los instrumentos de seguimiento formativo que tienen un impacto directo sobre la motivación y la autoeficacia del estudiante. Un tablero de progreso visible en el aula donde los estudiantes van marcando las competencias que han alcanzado, o un sistema de 'insignias de dominio' que el estudiante recibe al demostrar el dominio de cada competencia, pueden transformar el proceso de recuperación de una experiencia de déficit y fracaso en una experiencia de progreso y logro progresivo.</w:t>
      </w:r>
    </w:p>
    <w:p>
      <w:pPr>
        <w:spacing w:before="60" w:after="80" w:line="360" w:lineRule="auto"/>
        <w:jc w:val="both"/>
      </w:pPr>
      <w:r>
        <w:rPr>
          <w:rFonts w:ascii="Calibri" w:hAnsi="Calibri"/>
          <w:b w:val="0"/>
          <w:i w:val="0"/>
          <w:sz w:val="21"/>
        </w:rPr>
        <w:t>El análisis de las tendencias del seguimiento formativo a lo largo del tiempo —comparar los datos del seguimiento de la semana 1 con los de la semana 3 y con los de la semana 6 del programa de recuperación— es la práctica de análisis de datos pedagógicos más directamente relevante para la mejora continua del programa. Este análisis de tendencias permite al docente identificar: qué competencias están siendo recuperadas a buen ritmo, qué competencias están mostrando un progreso más lento de lo esperado y requieren ajuste de la estrategia, y qué estudiantes están progresando consistentemente y cuáles muestran un estancamiento que requiere atención adicional.</w:t>
      </w:r>
    </w:p>
    <w:p>
      <w:pPr>
        <w:spacing w:before="60" w:after="80" w:line="360" w:lineRule="auto"/>
        <w:jc w:val="both"/>
      </w:pPr>
      <w:r>
        <w:rPr>
          <w:rFonts w:ascii="Calibri" w:hAnsi="Calibri"/>
          <w:b w:val="0"/>
          <w:i w:val="0"/>
          <w:sz w:val="21"/>
        </w:rPr>
        <w:t>La integración de los datos de seguimiento formativo en las decisiones de agrupamiento flexible es la aplicación pedagógica más directa del seguimiento del progreso: cuando el mapa de seguimiento actualizado muestra que un grupo de estudiantes ha alcanzado una competencia específica mientras que otro grupo la sigue teniendo en proceso, el docente puede reorganizar los grupos de trabajo para que los primeros avancen hacia la siguiente competencia mientras el docente trabaja más intensamente con los que aún están en proceso.</w:t>
      </w:r>
    </w:p>
    <w:p>
      <w:pPr>
        <w:spacing w:before="60" w:after="80" w:line="360" w:lineRule="auto"/>
        <w:jc w:val="both"/>
      </w:pPr>
      <w:r>
        <w:rPr>
          <w:rFonts w:ascii="Calibri" w:hAnsi="Calibri"/>
          <w:b w:val="0"/>
          <w:i w:val="0"/>
          <w:sz w:val="21"/>
        </w:rPr>
        <w:t>El diseño de instrumentos de seguimiento formativo adaptados para estudiantes con necesidades educativas especiales es una exigencia de la Ley 15 de 2016 de Panamá que debe estar presente en todo programa de recuperación inclusivo. Los ajustes razonables en los instrumentos de seguimiento pueden incluir: reducción del número de ítems a los más esenciales, disponibilidad de tiempo adicional para completar las actividades de evaluación, posibilidad de responder de manera oral en lugar de escrita cuando las dificultades de la escritura son el factor limitante y no la competencia que se está evaluando, uso de apoyos visuales o táctiles para estudiantes con dificultades sensoriales.</w:t>
      </w:r>
    </w:p>
    <w:p>
      <w:pPr>
        <w:spacing w:before="60" w:after="80" w:line="360" w:lineRule="auto"/>
        <w:jc w:val="both"/>
      </w:pPr>
      <w:r>
        <w:rPr>
          <w:rFonts w:ascii="Calibri" w:hAnsi="Calibri"/>
          <w:b w:val="0"/>
          <w:i w:val="0"/>
          <w:sz w:val="21"/>
        </w:rPr>
        <w:t>La construcción de un sistema de evaluación formativa integrado —un conjunto coherente de instrumentos de seguimiento del progreso que se articulan entre sí a lo largo del programa de recuperación— es el proyecto de diseño pedagógico más complejo y más valioso que puede emprender el docente de recuperación. Un sistema integrado coherente incluye: evaluaciones diagnósticas al inicio, técnicas de seguimiento breves después de cada sesión, evaluaciones más comprehensivas al final de cada unidad, y un instrumento de evaluación final que permite comparar el nivel de dominio alcanzado al final del programa con el nivel inicial documentado en el diagnóstico.</w:t>
      </w:r>
    </w:p>
    <w:p>
      <w:pPr>
        <w:spacing w:before="60" w:after="80" w:line="360" w:lineRule="auto"/>
        <w:jc w:val="both"/>
      </w:pPr>
      <w:r>
        <w:rPr>
          <w:rFonts w:ascii="Calibri" w:hAnsi="Calibri"/>
          <w:b w:val="0"/>
          <w:i w:val="0"/>
          <w:sz w:val="21"/>
        </w:rPr>
        <w:t>La compartición de los instrumentos de seguimiento formativo desarrollados por el docente con sus colegas del centro educativo —a través de reuniones pedagógicas, repositorios compartidos o comunidades de práctica profesional— es la práctica que transforma la inversión de tiempo en el diseño de instrumentos de seguimiento en un beneficio colectivo que trasciende el programa de recuperación individual. Los instrumentos bien diseñados, con el ajuste y la validación que produce su uso real en el aula, se convierten en recursos pedagógicos de alta calidad que pueden mejorar las prácticas de evaluación formativa de todo el equipo docente del centro.</w:t>
      </w:r>
    </w:p>
    <w:p/>
    <w:p>
      <w:pPr>
        <w:keepNext/>
        <w:spacing w:before="240" w:after="100"/>
        <w:jc w:val="left"/>
      </w:pPr>
      <w:r>
        <w:rPr>
          <w:rFonts w:ascii="Calibri" w:hAnsi="Calibri"/>
          <w:b/>
          <w:color w:val="12265B"/>
          <w:sz w:val="26"/>
        </w:rPr>
        <w:t>Unidad 6: Análisis de errores y retroalimentación correctiva de alta calidad</w:t>
      </w:r>
    </w:p>
    <w:p>
      <w:pPr>
        <w:spacing w:before="40" w:after="100" w:line="360" w:lineRule="auto"/>
        <w:jc w:val="both"/>
      </w:pPr>
      <w:r>
        <w:rPr>
          <w:rFonts w:ascii="Calibri" w:hAnsi="Calibri"/>
          <w:b w:val="0"/>
          <w:i/>
          <w:sz w:val="20"/>
        </w:rPr>
        <w:t>Objetivo: Analizar los errores frecuentes de los estudiantes como fuente de información diagnóstica y diseñar retroalimentación correctiva de alta calidad para cada tipo de error identificado.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El análisis de los errores del estudiante como fuente de información diagnóstica es una práctica de evaluación formativa de alta sofisticación pedagógica que transforma los errores de obstáculos del aprendizaje en ventanas de comprensión de los procesos cognitivos del aprendiz. Un error no es un fracaso: es una evidencia de la manera en que el estudiante está procesando la información y de en qué punto específico su comprensión se desvía de la comprensión correcta. El análisis sistemático de los errores más frecuentes de un grupo de estudiantes permite al docente identificar los patrones de malentendido que son más productivos de abordar directamente en la instrucción.</w:t>
      </w:r>
    </w:p>
    <w:p>
      <w:pPr>
        <w:spacing w:before="60" w:after="80" w:line="360" w:lineRule="auto"/>
        <w:jc w:val="both"/>
      </w:pPr>
      <w:r>
        <w:rPr>
          <w:rFonts w:ascii="Calibri" w:hAnsi="Calibri"/>
          <w:b w:val="0"/>
          <w:i w:val="0"/>
          <w:sz w:val="21"/>
        </w:rPr>
        <w:t>Los tipos de errores en el aprendizaje han sido categorizados de diversas maneras por la investigación educativa. Una clasificación especialmente útil para el docente de recuperación distingue entre: errores conceptuales —el estudiante tiene una comprensión incorrecta del concepto subyacente al procedimiento que está aplicando—, errores procedimentales —el estudiante comprende el concepto pero aplica el procedimiento de manera incorrecta—, errores de transferencia —el estudiante comprende el concepto en el contexto donde lo aprendió pero no puede aplicarlo en contextos diferentes—, y errores de negligencia —el estudiante comete errores por falta de atención o de revisión, no por falta de comprensión. Cada tipo de error requiere un tipo diferente de retroalimentación correctiva.</w:t>
      </w:r>
    </w:p>
    <w:p>
      <w:pPr>
        <w:spacing w:before="60" w:after="80" w:line="360" w:lineRule="auto"/>
        <w:jc w:val="both"/>
      </w:pPr>
      <w:r>
        <w:rPr>
          <w:rFonts w:ascii="Calibri" w:hAnsi="Calibri"/>
          <w:b w:val="0"/>
          <w:i w:val="0"/>
          <w:sz w:val="21"/>
        </w:rPr>
        <w:t>La retroalimentación correctiva de alta calidad tiene características que la distinguen de la retroalimentación evaluativa convencional. Según el modelo de retroalimentación de Hattie y Timperley (2007), la retroalimentación más efectiva opera en cuatro niveles: el nivel de la tarea —identificar exactamente qué está correcto e incorrecto en el trabajo específico del estudiante—, el nivel del proceso —señalar qué estrategia produjo el error y qué estrategia alternativa podría producir la respuesta correcta—, el nivel de la autorregulación —invitar al estudiante a identificar por sí mismo los errores y a plantear la corrección— y el nivel de la persona —retroalimentación sobre las características del estudiante como aprendiz. La retroalimentación más efectiva para la recuperación opera en los niveles de proceso y autorregulación.</w:t>
      </w:r>
    </w:p>
    <w:p>
      <w:pPr>
        <w:spacing w:before="60" w:after="80" w:line="360" w:lineRule="auto"/>
        <w:jc w:val="both"/>
      </w:pPr>
      <w:r>
        <w:rPr>
          <w:rFonts w:ascii="Calibri" w:hAnsi="Calibri"/>
          <w:b w:val="0"/>
          <w:i w:val="0"/>
          <w:sz w:val="21"/>
        </w:rPr>
        <w:t>El diseño de la retroalimentación correctiva específica para cada tipo de error requiere que el docente primero construya una 'cartografía de errores' de los más frecuentes en su grupo de estudiantes, para luego diseñar respuestas pedagógicas específicas para cada categoría de error. Por ejemplo, si el error más frecuente en comprensión lectora es la incapacidad de distinguir entre la información explícita y la información inferida en un texto, el docente diseña una retroalimentación que no solo señala que la respuesta es incorrecta sino que guía al estudiante en el proceso de distinguir explícita e implícitamente qué información está en el texto y qué información hay que inferir.</w:t>
      </w:r>
    </w:p>
    <w:p>
      <w:pPr>
        <w:spacing w:before="60" w:after="80" w:line="360" w:lineRule="auto"/>
        <w:jc w:val="both"/>
      </w:pPr>
      <w:r>
        <w:rPr>
          <w:rFonts w:ascii="Calibri" w:hAnsi="Calibri"/>
          <w:b w:val="0"/>
          <w:i w:val="0"/>
          <w:sz w:val="21"/>
        </w:rPr>
        <w:t>La retroalimentación correctiva escrita —la que el docente escribe en los trabajos y evaluaciones del estudiante— debe cumplir con cuatro criterios de eficacia: debe ser específica —no 'mejora la comprensión lectora' sino 'cuando leas un texto, subraya primero las frases donde el autor dice directamente qué pasó, antes de buscar lo que se puede inferir'—, debe ser orientada al proceso —explicar qué estrategia usar, no solo señalar qué está mal—, debe ser procesable —el estudiante debe poder actuar sobre la retroalimentación de manera concreta—, y debe ser oportuna —proporcionada cuando el aprendizaje sigue activo, no semanas después de que el estudiante ya habrá olvidado el contexto de la tarea.</w:t>
      </w:r>
    </w:p>
    <w:p>
      <w:pPr>
        <w:spacing w:before="60" w:after="80" w:line="360" w:lineRule="auto"/>
        <w:jc w:val="both"/>
      </w:pPr>
      <w:r>
        <w:rPr>
          <w:rFonts w:ascii="Calibri" w:hAnsi="Calibri"/>
          <w:b w:val="0"/>
          <w:i w:val="0"/>
          <w:sz w:val="21"/>
        </w:rPr>
        <w:t>La retroalimentación correctiva oral —la que el docente proporciona durante las actividades de clase, en interacciones directas con el estudiante— tiene ventajas sobre la retroalimentación escrita en términos de inmediatez y de la posibilidad de verificar que el estudiante ha comprendido la retroalimentación y puede aplicarla. La retroalimentación oral efectiva incluye: una afirmación inicial que reconoce lo que el estudiante hizo bien (para mantener la apertura emocional a la retroalimentación), la identificación específica del error y su causa probable, una explicación de la estrategia alternativa y, de ser posible, una verificación inmediata de que el estudiante puede aplicar la estrategia sugerida.</w:t>
      </w:r>
    </w:p>
    <w:p>
      <w:pPr>
        <w:spacing w:before="60" w:after="80" w:line="360" w:lineRule="auto"/>
        <w:jc w:val="both"/>
      </w:pPr>
      <w:r>
        <w:rPr>
          <w:rFonts w:ascii="Calibri" w:hAnsi="Calibri"/>
          <w:b w:val="0"/>
          <w:i w:val="0"/>
          <w:sz w:val="21"/>
        </w:rPr>
        <w:t>El uso de preguntas en lugar de correcciones directas es una estrategia de retroalimentación correctiva de especial potencia para el desarrollo de la autonomía del aprendizaje: en lugar de decirle al estudiante qué está mal y cuál es la respuesta correcta, el docente formula una pregunta que lleva al estudiante a identificar por sí mismo el error y a encontrar la corrección. '¿Qué pasaría si volvemos a leer ese párrafo buscando específicamente dónde el autor dice directamente ese dato?' es una retroalimentación más poderosa a largo plazo que 'esa respuesta está mal, el dato correcto está en el tercer párrafo', aunque la segunda sea más eficiente en términos de tiempo.</w:t>
      </w:r>
    </w:p>
    <w:p>
      <w:pPr>
        <w:spacing w:before="60" w:after="80" w:line="360" w:lineRule="auto"/>
        <w:jc w:val="both"/>
      </w:pPr>
      <w:r>
        <w:rPr>
          <w:rFonts w:ascii="Calibri" w:hAnsi="Calibri"/>
          <w:b w:val="0"/>
          <w:i w:val="0"/>
          <w:sz w:val="21"/>
        </w:rPr>
        <w:t>La retroalimentación positiva —el reconocimiento específico y explícito de lo que el estudiante está haciendo bien en el proceso de recuperación— es una componente de la retroalimentación correctiva que el docente de recuperación a veces descuida al estar demasiado concentrado en las brechas y los errores. La retroalimentación positiva específica —'noté que esta vez buscaste las palabras clave en el texto antes de responder, que es exactamente la estrategia que practicamos la semana pasada'— refuerza las estrategias de aprendizaje efectivas, aumenta la autoeficacia del estudiante y motiva la persistencia en el proceso de recuperación.</w:t>
      </w:r>
    </w:p>
    <w:p>
      <w:pPr>
        <w:spacing w:before="60" w:after="80" w:line="360" w:lineRule="auto"/>
        <w:jc w:val="both"/>
      </w:pPr>
      <w:r>
        <w:rPr>
          <w:rFonts w:ascii="Calibri" w:hAnsi="Calibri"/>
          <w:b w:val="0"/>
          <w:i w:val="0"/>
          <w:sz w:val="21"/>
        </w:rPr>
        <w:t>La retroalimentación entre pares —el proceso de que los estudiantes se proporcionen retroalimentación correctiva el uno al otro sobre sus trabajos— es una estrategia pedagógica de alta efectividad cuando está bien estructurada por el docente. La investigación sobre coevaluación demuestra que los estudiantes pueden proporcionar retroalimentación útil a sus pares cuando disponen de criterios de evaluación claros, de modelos de retroalimentación de calidad y de protocolos estructurados de interacción que garanticen que la retroalimentación sea constructiva y orientada al aprendizaje.</w:t>
      </w:r>
    </w:p>
    <w:p>
      <w:pPr>
        <w:spacing w:before="60" w:after="80" w:line="360" w:lineRule="auto"/>
        <w:jc w:val="both"/>
      </w:pPr>
      <w:r>
        <w:rPr>
          <w:rFonts w:ascii="Calibri" w:hAnsi="Calibri"/>
          <w:b w:val="0"/>
          <w:i w:val="0"/>
          <w:sz w:val="21"/>
        </w:rPr>
        <w:t>El diseño de actividades de corrección cooperativa —donde los estudiantes trabajan en pequeño grupo para analizar un conjunto de trabajos anónimos con errores y proponer correcciones— es una estrategia de aprendizaje de alta efectividad para el desarrollo de la comprensión de los criterios de calidad y de la capacidad de identificar y corregir los propios errores. Al analizar los errores de otros, los estudiantes desarrollan la consciencia metacognitiva sobre los tipos de errores que pueden cometer y la capacidad de aplicar criterios de calidad de manera más autónoma.</w:t>
      </w:r>
    </w:p>
    <w:p>
      <w:pPr>
        <w:spacing w:before="60" w:after="80" w:line="360" w:lineRule="auto"/>
        <w:jc w:val="both"/>
      </w:pPr>
      <w:r>
        <w:rPr>
          <w:rFonts w:ascii="Calibri" w:hAnsi="Calibri"/>
          <w:b w:val="0"/>
          <w:i w:val="0"/>
          <w:sz w:val="21"/>
        </w:rPr>
        <w:t>El registro del historial de errores de cada estudiante a lo largo del programa de recuperación —documentando qué tipos de errores cometía al inicio, cómo evolucionaron durante el programa y cuáles han sido superados al final— es una práctica de evaluación formativa longitudinal que tiene múltiples beneficios: permite al docente identificar los errores más persistentes que requieren atención adicional, proporciona al estudiante una evidencia visible de su propio progreso que aumenta su autoeficacia y su motivación, y genera un registro documentado de la efectividad del programa de recuperación que puede ser compartido con el equipo de orientación y con las familias.</w:t>
      </w:r>
    </w:p>
    <w:p>
      <w:pPr>
        <w:spacing w:before="60" w:after="80" w:line="360" w:lineRule="auto"/>
        <w:jc w:val="both"/>
      </w:pPr>
      <w:r>
        <w:rPr>
          <w:rFonts w:ascii="Calibri" w:hAnsi="Calibri"/>
          <w:b w:val="0"/>
          <w:i w:val="0"/>
          <w:sz w:val="21"/>
        </w:rPr>
        <w:t>La construcción de una biblioteca de retroalimentaciones correctivas tipificadas —un repertorio de respuestas pedagógicas específicas para los errores más frecuentes en las competencias de recuperación del nivel educativo correspondiente— es una inversión de tiempo que produce rendimientos pedagógicos a largo plazo. Esta biblioteca, construida gradualmente a partir de la experiencia diagnóstica acumulada, permite al docente proporcionar retroalimentación de alta calidad de manera más eficiente, sin necesidad de diseñar una respuesta pedagógica nueva cada vez que aparece un tipo de error que ya ha enfrentado anteriormente.</w:t>
      </w:r>
    </w:p>
    <w:p/>
    <w:p>
      <w:pPr>
        <w:keepNext/>
        <w:spacing w:before="240" w:after="100"/>
        <w:jc w:val="left"/>
      </w:pPr>
      <w:r>
        <w:rPr>
          <w:rFonts w:ascii="Calibri" w:hAnsi="Calibri"/>
          <w:b/>
          <w:color w:val="12265B"/>
          <w:sz w:val="26"/>
        </w:rPr>
        <w:t>Unidad 7: Agrupamiento flexible de estudiantes para la intervención diferenciada</w:t>
      </w:r>
    </w:p>
    <w:p>
      <w:pPr>
        <w:spacing w:before="40" w:after="100" w:line="360" w:lineRule="auto"/>
        <w:jc w:val="both"/>
      </w:pPr>
      <w:r>
        <w:rPr>
          <w:rFonts w:ascii="Calibri" w:hAnsi="Calibri"/>
          <w:b w:val="0"/>
          <w:i/>
          <w:sz w:val="20"/>
        </w:rPr>
        <w:t>Objetivo: Diseñar sistemas de agrupamiento flexible de estudiantes para optimizar la eficacia de las intervenciones de recuperación diferenciadas.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El agrupamiento flexible de estudiantes es la práctica pedagógica de organizar a los estudiantes en subgrupos de trabajo cambiantes, basados en las necesidades de aprendizaje que se están trabajando en un momento específico del programa de recuperación, en lugar de en grupos fijos basados en el nivel general de rendimiento. Esta práctica permite al docente atender de manera más eficiente las necesidades específicas de los estudiantes con similares brechas de recuperación, sin los efectos negativos del agrupamiento fijo por habilidad —que tiende a perpetuar las desigualdades de rendimiento y a estigmatizar a los estudiantes asignados a los grupos de menor nivel.</w:t>
      </w:r>
    </w:p>
    <w:p>
      <w:pPr>
        <w:spacing w:before="60" w:after="80" w:line="360" w:lineRule="auto"/>
        <w:jc w:val="both"/>
      </w:pPr>
      <w:r>
        <w:rPr>
          <w:rFonts w:ascii="Calibri" w:hAnsi="Calibri"/>
          <w:b w:val="0"/>
          <w:i w:val="0"/>
          <w:sz w:val="21"/>
        </w:rPr>
        <w:t>Los tipos de agrupamiento flexible más utilizados en los programas de recuperación de aprendizajes son: el agrupamiento por competencia específica —los estudiantes que presentan déficit en la misma competencia forman un subgrupo para recibir instrucción intensiva en esa competencia específica—, el agrupamiento por nivel de apoyo requerido —los estudiantes que pueden avanzar con apoyo mínimo forman un subgrupo, mientras que los que requieren apoyo más intensivo forman otro—, el agrupamiento mixto para el aprendizaje entre pares —un estudiante con mayor dominio es emparejado con uno de menor dominio para la práctica y consolidación de una competencia—, y el agrupamiento por interés o por preferencia de aprendizaje —para las actividades de enriquecimiento diseñadas para los estudiantes que ya han alcanzado las metas de recuperación.</w:t>
      </w:r>
    </w:p>
    <w:p>
      <w:pPr>
        <w:spacing w:before="60" w:after="80" w:line="360" w:lineRule="auto"/>
        <w:jc w:val="both"/>
      </w:pPr>
      <w:r>
        <w:rPr>
          <w:rFonts w:ascii="Calibri" w:hAnsi="Calibri"/>
          <w:b w:val="0"/>
          <w:i w:val="0"/>
          <w:sz w:val="21"/>
        </w:rPr>
        <w:t>El agrupamiento flexible efectivo en recuperación de aprendizajes requiere que el docente disponga de datos de evaluación formativa frecuentes y actualizados que orienten las decisiones de reorganización de los grupos. Sin datos diagnósticos precisos sobre el nivel de dominio actual de cada estudiante en cada competencia trabajada, el agrupamiento tiende a basarse en percepciones subjetivas del docente sobre el nivel general del estudiante —que pueden estar sesgadas por factores no directamente relacionados con el aprendizaje, como el comportamiento, la participación o el origen socioeconómico del estudiante.</w:t>
      </w:r>
    </w:p>
    <w:p>
      <w:pPr>
        <w:spacing w:before="60" w:after="80" w:line="360" w:lineRule="auto"/>
        <w:jc w:val="both"/>
      </w:pPr>
      <w:r>
        <w:rPr>
          <w:rFonts w:ascii="Calibri" w:hAnsi="Calibri"/>
          <w:b w:val="0"/>
          <w:i w:val="0"/>
          <w:sz w:val="21"/>
        </w:rPr>
        <w:t>La comunicación de los grupos de recuperación a los estudiantes requiere sensibilidad pedagógica para que los subgrupos no se perciban como una forma de etiquetado o de diferenciación estigmatizante. Las estrategias de comunicación más efectivas incluyen: presentar los grupos como equipos de trabajo temporales orientados a objetivos específicos, variar con frecuencia la composición de los grupos para que ningún agrupamiento se consolide en la percepción de los estudiantes como permanente, y celebrar el progreso de cada grupo cuando los estudiantes de ese subgrupo avanzan hacia el siguiente nivel de dominio.</w:t>
      </w:r>
    </w:p>
    <w:p>
      <w:pPr>
        <w:spacing w:before="60" w:after="80" w:line="360" w:lineRule="auto"/>
        <w:jc w:val="both"/>
      </w:pPr>
      <w:r>
        <w:rPr>
          <w:rFonts w:ascii="Calibri" w:hAnsi="Calibri"/>
          <w:b w:val="0"/>
          <w:i w:val="0"/>
          <w:sz w:val="21"/>
        </w:rPr>
        <w:t>El tamaño óptimo de los grupos de recuperación para la instrucción intensiva es de dos a cinco estudiantes, según la evidencia del modelo de tutorías intensivas (Nickow et al., 2020). Los grupos de más de cinco estudiantes tienden a perder la densidad de interacción docente-estudiante que es la clave de la efectividad de la instrucción de pequeño grupo; los grupos de menos de dos estudiantes son más eficientes que la instrucción individualizada pero no permiten el aprendizaje entre pares que aporta valor adicional a la instrucción grupal.</w:t>
      </w:r>
    </w:p>
    <w:p>
      <w:pPr>
        <w:spacing w:before="60" w:after="80" w:line="360" w:lineRule="auto"/>
        <w:jc w:val="both"/>
      </w:pPr>
      <w:r>
        <w:rPr>
          <w:rFonts w:ascii="Calibri" w:hAnsi="Calibri"/>
          <w:b w:val="0"/>
          <w:i w:val="0"/>
          <w:sz w:val="21"/>
        </w:rPr>
        <w:t>La gestión del tiempo en el aula con múltiples grupos de recuperación activos simultáneamente es uno de los desafíos logísticos más complejos del agrupamiento flexible. Las estrategias más efectivas incluyen: el diseño de actividades de práctica independiente para los grupos que el docente no está atendiendo directamente en ese momento —actividades que los estudiantes pueden completar de manera autónoma o en pequeño grupo sin necesidad de supervisión constante del docente—, la rotación estructurada de grupos —un cronograma predecible de cuándo trabaja cada grupo con el docente y cuándo trabaja de manera independiente—, y el diseño de señales visuales claras que indiquen a todos los estudiantes cuándo el docente está disponible para consultas y cuándo está en sesión intensiva con un subgrupo específico.</w:t>
      </w:r>
    </w:p>
    <w:p>
      <w:pPr>
        <w:spacing w:before="60" w:after="80" w:line="360" w:lineRule="auto"/>
        <w:jc w:val="both"/>
      </w:pPr>
      <w:r>
        <w:rPr>
          <w:rFonts w:ascii="Calibri" w:hAnsi="Calibri"/>
          <w:b w:val="0"/>
          <w:i w:val="0"/>
          <w:sz w:val="21"/>
        </w:rPr>
        <w:t>El agrupamiento flexible interaula —la colaboración entre dos o más docentes del mismo nivel educativo para organizar a todos sus estudiantes en grupos de recuperación basados en sus necesidades específicas, independientemente del grupo al que pertenecen ordinariamente— es una estrategia de organización escolar de alta efectividad que requiere un alto nivel de colaboración y coordinación entre los docentes involucrados. Este modelo permite concentrar a los estudiantes con necesidades similares en grupos de menor tamaño atendidos por docentes con mayor especialización en las competencias específicas que se está trabajando.</w:t>
      </w:r>
    </w:p>
    <w:p>
      <w:pPr>
        <w:spacing w:before="60" w:after="80" w:line="360" w:lineRule="auto"/>
        <w:jc w:val="both"/>
      </w:pPr>
      <w:r>
        <w:rPr>
          <w:rFonts w:ascii="Calibri" w:hAnsi="Calibri"/>
          <w:b w:val="0"/>
          <w:i w:val="0"/>
          <w:sz w:val="21"/>
        </w:rPr>
        <w:t>El rol del tutor de pares en el agrupamiento flexible es uno de los recursos pedagógicos de mayor impacto en los programas de recuperación de bajo costo. Un estudiante que ha logrado el dominio de una competencia específica puede desempeñarse como tutor de pares para los compañeros que todavía están en proceso, bajo la orientación y supervisión del docente. Para que el tutoraje de pares sea efectivo, el tutor necesita recibir orientación explícita del docente sobre cómo explicar la competencia, qué preguntas hacer al tutorado y cómo identificar cuándo el tutorado está progresando y cuándo necesita la intervención del docente.</w:t>
      </w:r>
    </w:p>
    <w:p>
      <w:pPr>
        <w:spacing w:before="60" w:after="80" w:line="360" w:lineRule="auto"/>
        <w:jc w:val="both"/>
      </w:pPr>
      <w:r>
        <w:rPr>
          <w:rFonts w:ascii="Calibri" w:hAnsi="Calibri"/>
          <w:b w:val="0"/>
          <w:i w:val="0"/>
          <w:sz w:val="21"/>
        </w:rPr>
        <w:t>La evaluación de la efectividad del agrupamiento flexible —monitorear si la reorganización de los grupos está produciendo el progreso de aprendizaje esperado— es una práctica de mejora continua que el docente de recuperación debe incorporar a su ciclo de planificación semanal. Si un subgrupo no está progresando a la tasa esperada, el docente necesita preguntarse: ¿Es la composición del grupo la más adecuada para las necesidades de sus miembros? ¿Es la instrucción diseñada para ese subgrupo la más efectiva para el tipo específico de brecha que presentan? ¿Es el tamaño del grupo el óptimo para la densidad de interacción que esos estudiantes necesitan?</w:t>
      </w:r>
    </w:p>
    <w:p>
      <w:pPr>
        <w:spacing w:before="60" w:after="80" w:line="360" w:lineRule="auto"/>
        <w:jc w:val="both"/>
      </w:pPr>
      <w:r>
        <w:rPr>
          <w:rFonts w:ascii="Calibri" w:hAnsi="Calibri"/>
          <w:b w:val="0"/>
          <w:i w:val="0"/>
          <w:sz w:val="21"/>
        </w:rPr>
        <w:t>El agrupamiento flexible en el contexto del aula multigrado —una realidad muy frecuente en las escuelas rurales e indígenas de Panamá— requiere adaptaciones específicas que consideren las diferencias de edad y de nivel curricular entre los estudiantes que comparten el mismo espacio de aprendizaje. En el aula multigrado, el agrupamiento flexible puede organizarse por competencia transversal en lugar de por nivel curricular, permitiendo que estudiantes de distintos grados trabajen juntos en el desarrollo de competencias que son relevantes para todos aunque en niveles de complejidad diferentes.</w:t>
      </w:r>
    </w:p>
    <w:p>
      <w:pPr>
        <w:spacing w:before="60" w:after="80" w:line="360" w:lineRule="auto"/>
        <w:jc w:val="both"/>
      </w:pPr>
      <w:r>
        <w:rPr>
          <w:rFonts w:ascii="Calibri" w:hAnsi="Calibri"/>
          <w:b w:val="0"/>
          <w:i w:val="0"/>
          <w:sz w:val="21"/>
        </w:rPr>
        <w:t>La documentación del proceso de agrupamiento flexible —registrar qué grupos se formaron, qué competencias trabajó cada grupo, qué estrategias se utilizaron y qué progresos se observaron— es una práctica reflexiva que transforma la experiencia del agrupamiento flexible en aprendizaje profesional acumulativo. Esta documentación permite al docente identificar qué tipos de agrupamiento han sido más efectivos para qué tipos de brechas, y construir gradualmente un repertorio de estrategias de agrupamiento y de instrucción diferenciada que pueda aplicar con mayor confianza y efectividad en los ciclos de recuperación futuros.</w:t>
      </w:r>
    </w:p>
    <w:p>
      <w:pPr>
        <w:spacing w:before="60" w:after="80" w:line="360" w:lineRule="auto"/>
        <w:jc w:val="both"/>
      </w:pPr>
      <w:r>
        <w:rPr>
          <w:rFonts w:ascii="Calibri" w:hAnsi="Calibri"/>
          <w:b w:val="0"/>
          <w:i w:val="0"/>
          <w:sz w:val="21"/>
        </w:rPr>
        <w:t>El agrupamiento flexible como estrategia de inclusión educativa permite que los estudiantes con necesidades educativas especiales participen en los grupos de recuperación diseñados para las brechas específicas que presentan —en lugar de ser segregados en grupos especiales separados del resto de la clase— con los ajustes razonables necesarios para garantizar su participación plena. La investigación sobre educación inclusiva demuestra que los estudiantes con necesidades educativas especiales se benefician significativamente de la instrucción en contextos de aprendizaje cooperativo con sus pares sin discapacidad, siempre que reciban los apoyos adecuados para su participación efectiva.</w:t>
      </w:r>
    </w:p>
    <w:p/>
    <w:p>
      <w:pPr>
        <w:keepNext/>
        <w:spacing w:before="240" w:after="100"/>
        <w:jc w:val="left"/>
      </w:pPr>
      <w:r>
        <w:rPr>
          <w:rFonts w:ascii="Calibri" w:hAnsi="Calibri"/>
          <w:b/>
          <w:color w:val="12265B"/>
          <w:sz w:val="26"/>
        </w:rPr>
        <w:t>Unidad 8: La evaluación formativa en contextos interculturales y de diversidad lingüística</w:t>
      </w:r>
    </w:p>
    <w:p>
      <w:pPr>
        <w:spacing w:before="40" w:after="100" w:line="360" w:lineRule="auto"/>
        <w:jc w:val="both"/>
      </w:pPr>
      <w:r>
        <w:rPr>
          <w:rFonts w:ascii="Calibri" w:hAnsi="Calibri"/>
          <w:b w:val="0"/>
          <w:i/>
          <w:sz w:val="20"/>
        </w:rPr>
        <w:t>Objetivo: Adaptar los instrumentos y estrategias de evaluación formativa para contextos de diversidad cultural y lingüística, garantizando la equidad en el diagnóstico y el seguimiento de la recuperación. — Bloom: Analizar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formativa en contextos interculturales y de diversidad lingüística —una realidad que caracteriza a una proporción significativa de los centros educativos panameños— plantea desafíos específicos que van más allá de los que enfrenta la evaluación en contextos lingüística y culturalmente homogéneos. La complejidad central de la evaluación en estos contextos es la distinción entre lo que el estudiante sabe y comprende —que puede ser muy superior a lo que puede demostrar en el idioma de la evaluación— y lo que el estudiante puede expresar en el idioma de instrucción en el momento en que es evaluado.</w:t>
      </w:r>
    </w:p>
    <w:p>
      <w:pPr>
        <w:spacing w:before="60" w:after="80" w:line="360" w:lineRule="auto"/>
        <w:jc w:val="both"/>
      </w:pPr>
      <w:r>
        <w:rPr>
          <w:rFonts w:ascii="Calibri" w:hAnsi="Calibri"/>
          <w:b w:val="0"/>
          <w:i w:val="0"/>
          <w:sz w:val="21"/>
        </w:rPr>
        <w:t>El bilingüismo emergente —el estado en que se encuentran los estudiantes que están desarrollando competencias en español como segunda lengua mientras mantienen y desarrollan su lengua materna— es una condición pedagógica que el docente de recuperación debe comprender en profundidad para diseñar instrumentos de evaluación que sean equitativos. Un instrumento de evaluación que requiere competencia plena en español para ser respondido correctamente no está midiendo la competencia curricular que pretende evaluar: está midiendo la competencia lingüística en español del estudiante, lo que es un indicador diferente y que no debe confundirse con una brecha en el aprendizaje curricular.</w:t>
      </w:r>
    </w:p>
    <w:p>
      <w:pPr>
        <w:spacing w:before="60" w:after="80" w:line="360" w:lineRule="auto"/>
        <w:jc w:val="both"/>
      </w:pPr>
      <w:r>
        <w:rPr>
          <w:rFonts w:ascii="Calibri" w:hAnsi="Calibri"/>
          <w:b w:val="0"/>
          <w:i w:val="0"/>
          <w:sz w:val="21"/>
        </w:rPr>
        <w:t>Las estrategias de evaluación formativa más equitativas en contextos de diversidad lingüística incluyen: el uso de múltiples formatos de respuesta —no solo la respuesta escrita en español sino también la respuesta oral, gráfica, demostrativa o en la lengua materna del estudiante—, el diseño de instrumentos con vocabulario accesible y con el apoyo de glosarios o de imágenes para los términos técnicos que pueden ser desconocidos para los estudiantes bilingües, y la utilización de intérpretes o de docentes bilingües para administrar los instrumentos en las comunidades donde la comunicación en español es limitada.</w:t>
      </w:r>
    </w:p>
    <w:p>
      <w:pPr>
        <w:spacing w:before="60" w:after="80" w:line="360" w:lineRule="auto"/>
        <w:jc w:val="both"/>
      </w:pPr>
      <w:r>
        <w:rPr>
          <w:rFonts w:ascii="Calibri" w:hAnsi="Calibri"/>
          <w:b w:val="0"/>
          <w:i w:val="0"/>
          <w:sz w:val="21"/>
        </w:rPr>
        <w:t>La evaluación de las competencias matemáticas en contextos interculturales requiere considerar que algunos conceptos matemáticos fundamentales —como las fracciones, las formas geométricas o los sistemas de numeración— tienen representaciones culturales específicas en las comunidades indígenas panameñas que pueden ser diferentes de las que presenta el currículo oficial. Reconocer y valorar estas representaciones culturales de los conceptos matemáticos como evidencia de comprensión, en lugar de tratarlas como errores o como evidencias de déficit, es tanto una práctica pedagógica culturalmente pertinente como una estrategia de evaluación más válida.</w:t>
      </w:r>
    </w:p>
    <w:p>
      <w:pPr>
        <w:spacing w:before="60" w:after="80" w:line="360" w:lineRule="auto"/>
        <w:jc w:val="both"/>
      </w:pPr>
      <w:r>
        <w:rPr>
          <w:rFonts w:ascii="Calibri" w:hAnsi="Calibri"/>
          <w:b w:val="0"/>
          <w:i w:val="0"/>
          <w:sz w:val="21"/>
        </w:rPr>
        <w:t>Las etnomatemáticas —el campo de estudio que investiga las prácticas matemáticas de diferentes culturas y comunidades— ofrece al docente de recuperación un marco conceptual especialmente valioso para la evaluación formativa en contextos indígenas y multiculturales. Un docente informado por los principios de la etnomatemática sabe que los Ngäbe, los Guna y los Emberá tienen sistemas de numeración, de medición y de organización espacial propios que son matemáticamente sofisticados, y puede usar ese conocimiento para diseñar evaluaciones que construyan sobre los saberes matemáticos que los estudiantes traen de su cultura.</w:t>
      </w:r>
    </w:p>
    <w:p>
      <w:pPr>
        <w:spacing w:before="60" w:after="80" w:line="360" w:lineRule="auto"/>
        <w:jc w:val="both"/>
      </w:pPr>
      <w:r>
        <w:rPr>
          <w:rFonts w:ascii="Calibri" w:hAnsi="Calibri"/>
          <w:b w:val="0"/>
          <w:i w:val="0"/>
          <w:sz w:val="21"/>
        </w:rPr>
        <w:t>La validez cultural de los instrumentos de evaluación formativa —el grado en que el instrumento es culturalmente comprensible y culturalmente relevante para los estudiantes a quienes se aplica— es un criterio de calidad tan importante como la validez técnica en los contextos interculturales. Un instrumento que utiliza ejemplos, situaciones de contexto y referentes culturales extraños a la experiencia del estudiante indígena o migrante le pone en desventaja desde el inicio de la evaluación, independientemente de su nivel real de dominio de la competencia que se quiere medir.</w:t>
      </w:r>
    </w:p>
    <w:p>
      <w:pPr>
        <w:spacing w:before="60" w:after="80" w:line="360" w:lineRule="auto"/>
        <w:jc w:val="both"/>
      </w:pPr>
      <w:r>
        <w:rPr>
          <w:rFonts w:ascii="Calibri" w:hAnsi="Calibri"/>
          <w:b w:val="0"/>
          <w:i w:val="0"/>
          <w:sz w:val="21"/>
        </w:rPr>
        <w:t>La participación de las familias y las comunidades en el diseño y la validación cultural de los instrumentos de evaluación formativa es una práctica de colaboración intercultural que mejora la calidad de los instrumentos y fortalece la alianza entre la escuela y la comunidad. Cuando el docente involucra a los sabios de la comunidad, a los padres de familia y a los líderes locales en la revisión de los instrumentos de evaluación para verificar que los ejemplos y los contextos utilizados son culturalmente pertinentes y respetuosos, los instrumentos resultantes son más válidos, más equitativos y más bien recibidos por los propios estudiantes.</w:t>
      </w:r>
    </w:p>
    <w:p>
      <w:pPr>
        <w:spacing w:before="60" w:after="80" w:line="360" w:lineRule="auto"/>
        <w:jc w:val="both"/>
      </w:pPr>
      <w:r>
        <w:rPr>
          <w:rFonts w:ascii="Calibri" w:hAnsi="Calibri"/>
          <w:b w:val="0"/>
          <w:i w:val="0"/>
          <w:sz w:val="21"/>
        </w:rPr>
        <w:t>El diseño de criterios de evaluación que reconozcan la diversidad de caminos hacia el aprendizaje es una práctica de evaluación formativa inclusiva que es especialmente relevante en contextos interculturales. Los criterios de evaluación que solo reconocen un camino hacia la comprensión de un concepto —el camino del currículo oficial— tienden a subestimar la comprensión de los estudiantes que han llegado al mismo concepto por rutas culturales diferentes. Los criterios de evaluación que reconocen múltiples representaciones y múltiples caminos de llegada al aprendizaje son más equitativos y más válidos en contextos de diversidad cultural.</w:t>
      </w:r>
    </w:p>
    <w:p>
      <w:pPr>
        <w:spacing w:before="60" w:after="80" w:line="360" w:lineRule="auto"/>
        <w:jc w:val="both"/>
      </w:pPr>
      <w:r>
        <w:rPr>
          <w:rFonts w:ascii="Calibri" w:hAnsi="Calibri"/>
          <w:b w:val="0"/>
          <w:i w:val="0"/>
          <w:sz w:val="21"/>
        </w:rPr>
        <w:t>La documentación del progreso en la lengua materna del estudiante —registrar cómo se expresa el estudiante sobre los contenidos de recuperación en su lengua materna, además de en español— es una práctica de evaluación bilingüe de alta efectividad en los contextos donde los docentes tienen competencia en la lengua indígena de sus estudiantes. Esta práctica permite distinguir entre lo que el estudiante sabe —que puede expresar con mayor profundidad en su lengua materna— y lo que puede expresar en español —que está condicionado por su nivel de desarrollo del bilingüismo—, proporcionando una imagen más justa y más completa del aprendizaje real del estudiante.</w:t>
      </w:r>
    </w:p>
    <w:p>
      <w:pPr>
        <w:spacing w:before="60" w:after="80" w:line="360" w:lineRule="auto"/>
        <w:jc w:val="both"/>
      </w:pPr>
      <w:r>
        <w:rPr>
          <w:rFonts w:ascii="Calibri" w:hAnsi="Calibri"/>
          <w:b w:val="0"/>
          <w:i w:val="0"/>
          <w:sz w:val="21"/>
        </w:rPr>
        <w:t>La evaluación del bilingüismo como un logro —y no como un déficit en cualquiera de los dos idiomas involucrados— es un cambio de perspectiva que tiene consecuencias profundas sobre la práctica de la evaluación formativa en los contextos interculturales panameños. Un estudiante Ngäbe que está desarrollando competencias en español mientras mantiene su competencia en ngäbere está realizando un logro cognitivo y lingüístico de alta complejidad que merece ser reconocido explícitamente en el programa de recuperación, en lugar de ser invisibilizado por un sistema de evaluación que solo considera la competencia en español.</w:t>
      </w:r>
    </w:p>
    <w:p>
      <w:pPr>
        <w:spacing w:before="60" w:after="80" w:line="360" w:lineRule="auto"/>
        <w:jc w:val="both"/>
      </w:pPr>
      <w:r>
        <w:rPr>
          <w:rFonts w:ascii="Calibri" w:hAnsi="Calibri"/>
          <w:b w:val="0"/>
          <w:i w:val="0"/>
          <w:sz w:val="21"/>
        </w:rPr>
        <w:t>La formación del docente en evaluación intercultural —el desarrollo de las competencias necesarias para diseñar, aplicar e interpretar instrumentos de evaluación formativa en contextos de diversidad cultural y lingüística— es una necesidad urgente del sistema educativo panameño que este Diplomado aborda directamente para los docentes que trabajan en contextos interculturales. La evaluación culturalmente competente no es una especialidad reservada para un grupo reducido de expertos: es una competencia que todos los docentes panameños que trabajan con comunidades diversas necesitan desarrollar, dada la extraordinaria riqueza de la diversidad cultural del país.</w:t>
      </w:r>
    </w:p>
    <w:p>
      <w:pPr>
        <w:spacing w:before="60" w:after="80" w:line="360" w:lineRule="auto"/>
        <w:jc w:val="both"/>
      </w:pPr>
      <w:r>
        <w:rPr>
          <w:rFonts w:ascii="Calibri" w:hAnsi="Calibri"/>
          <w:b w:val="0"/>
          <w:i w:val="0"/>
          <w:sz w:val="21"/>
        </w:rPr>
        <w:t>La construcción de un sistema de evaluación intercultural para el programa de recuperación de aprendizajes requiere que el docente considere, desde el diseño mismo de los instrumentos, cómo cada decisión de diseño —el idioma de la instrucción, los contextos de los ejemplos, los formatos de respuesta aceptados, los criterios de evaluación— afecta de manera diferente a los estudiantes de distintas procedencias culturales y lingüísticas. Este ejercicio de diseño pedagógico culturalmente sensible es, al mismo tiempo, una práctica de equidad educativa y una oportunidad de enriquecimiento de la propia comprensión del docente sobre la diversidad de maneras en que el aprendizaje ocurre en la extraordinaria diversidad cultural de la sociedad panameña.</w:t>
      </w:r>
    </w:p>
    <w:p/>
    <w:p>
      <w:pPr>
        <w:keepNext/>
        <w:spacing w:before="240" w:after="100"/>
        <w:jc w:val="left"/>
      </w:pPr>
      <w:r>
        <w:rPr>
          <w:rFonts w:ascii="Calibri" w:hAnsi="Calibri"/>
          <w:b/>
          <w:color w:val="12265B"/>
          <w:sz w:val="26"/>
        </w:rPr>
        <w:t>Unidad 9: El portafolio de evidencias de aprendizaje como instrumento de evaluación de la recuperación</w:t>
      </w:r>
    </w:p>
    <w:p>
      <w:pPr>
        <w:spacing w:before="40" w:after="100" w:line="360" w:lineRule="auto"/>
        <w:jc w:val="both"/>
      </w:pPr>
      <w:r>
        <w:rPr>
          <w:rFonts w:ascii="Calibri" w:hAnsi="Calibri"/>
          <w:b w:val="0"/>
          <w:i/>
          <w:sz w:val="20"/>
        </w:rPr>
        <w:t>Objetivo: Diseñar y gestionar un portafolio de evidencias de aprendizaje como instrumento de evaluación de la recuperación de aprendizajes.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El portafolio de evidencias de aprendizaje es un instrumento de evaluación alternativa que colecciona, organiza y documenta las producciones del estudiante a lo largo de un período de tiempo, con el propósito de evidenciar su progreso en el desarrollo de competencias específicas. En el contexto de la recuperación de aprendizajes, el portafolio tiene una ventaja estratégica sobre las evaluaciones puntuales convencionales: muestra no solo el nivel de dominio alcanzado al final del programa sino también el camino recorrido desde el inicio, haciendo visible el progreso incluso cuando el estudiante no ha alcanzado todavía el nivel esperado.</w:t>
      </w:r>
    </w:p>
    <w:p>
      <w:pPr>
        <w:spacing w:before="60" w:after="80" w:line="360" w:lineRule="auto"/>
        <w:jc w:val="both"/>
      </w:pPr>
      <w:r>
        <w:rPr>
          <w:rFonts w:ascii="Calibri" w:hAnsi="Calibri"/>
          <w:b w:val="0"/>
          <w:i w:val="0"/>
          <w:sz w:val="21"/>
        </w:rPr>
        <w:t>La diferencia fundamental entre un portafolio de evidencias de recuperación y una simple colección de trabajos del estudiante es la reflexión que el propio estudiante incluye en el portafolio sobre sus producciones: por qué seleccionó esa evidencia, qué demuestra sobre su aprendizaje, cómo cambió su comprensión desde el inicio del programa, y qué sigue necesitando mejorar. Esta reflexión metacognitiva es el componente del portafolio que produce el mayor aprendizaje: al tener que articular explícitamente qué ha aprendido y cómo ha aprendido, el estudiante consolida y profundiza su comprensión.</w:t>
      </w:r>
    </w:p>
    <w:p>
      <w:pPr>
        <w:spacing w:before="60" w:after="80" w:line="360" w:lineRule="auto"/>
        <w:jc w:val="both"/>
      </w:pPr>
      <w:r>
        <w:rPr>
          <w:rFonts w:ascii="Calibri" w:hAnsi="Calibri"/>
          <w:b w:val="0"/>
          <w:i w:val="0"/>
          <w:sz w:val="21"/>
        </w:rPr>
        <w:t>Los componentes esenciales de un portafolio de recuperación de aprendizajes incluyen: una evaluación diagnóstica inicial que sirve como línea de base del progreso, una selección de evidencias de aprendizaje recogidas a lo largo del programa —con la justificación del estudiante de por qué seleccionó cada evidencia—, un registro de las reflexiones del estudiante sobre su propio proceso de aprendizaje, y una evaluación final que permita comparar el nivel de dominio alcanzado con el nivel de partida documentado en el diagnóstico.</w:t>
      </w:r>
    </w:p>
    <w:p>
      <w:pPr>
        <w:spacing w:before="60" w:after="80" w:line="360" w:lineRule="auto"/>
        <w:jc w:val="both"/>
      </w:pPr>
      <w:r>
        <w:rPr>
          <w:rFonts w:ascii="Calibri" w:hAnsi="Calibri"/>
          <w:b w:val="0"/>
          <w:i w:val="0"/>
          <w:sz w:val="21"/>
        </w:rPr>
        <w:t>El portafolio digital —un portafolio alojado en una plataforma digital como Canvas Student, Google Sites, Seesaw o cualquier otra herramienta accesible en el contexto del centro educativo— ofrece ventajas adicionales sobre el portafolio físico en papel: facilita la inclusión de evidencias multimedia —grabaciones de audio, videos, fotografías— que los portafolios físicos no pueden contener, permite el acceso remoto de las familias para que puedan monitorear el progreso de sus hijos, y facilita la compartición de evidencias de aprendizaje entre estudiantes para el aprendizaje entre pares.</w:t>
      </w:r>
    </w:p>
    <w:p>
      <w:pPr>
        <w:spacing w:before="60" w:after="80" w:line="360" w:lineRule="auto"/>
        <w:jc w:val="both"/>
      </w:pPr>
      <w:r>
        <w:rPr>
          <w:rFonts w:ascii="Calibri" w:hAnsi="Calibri"/>
          <w:b w:val="0"/>
          <w:i w:val="0"/>
          <w:sz w:val="21"/>
        </w:rPr>
        <w:t>El diseño de la rúbrica de evaluación del portafolio debe considerar dos dimensiones: la calidad de las evidencias seleccionadas —¿demuestran el nivel de dominio de las competencias de recuperación?— y la calidad de la reflexión del estudiante —¿demuestra comprensión del propio proceso de aprendizaje, identificación honesta de fortalezas y brechas, y orientación clara hacia las metas de mejora? La segunda dimensión es tan importante como la primera porque es la que desarrolla las competencias metacognitivas que el estudiante necesitará a lo largo de toda su vida académica y profesional.</w:t>
      </w:r>
    </w:p>
    <w:p>
      <w:pPr>
        <w:spacing w:before="60" w:after="80" w:line="360" w:lineRule="auto"/>
        <w:jc w:val="both"/>
      </w:pPr>
      <w:r>
        <w:rPr>
          <w:rFonts w:ascii="Calibri" w:hAnsi="Calibri"/>
          <w:b w:val="0"/>
          <w:i w:val="0"/>
          <w:sz w:val="21"/>
        </w:rPr>
        <w:t>La gestión del tiempo de construcción del portafolio en el contexto del programa de recuperación requiere integrar los momentos de reflexión y selección de evidencias en el flujo normal de las actividades de clase, en lugar de tratarlos como tareas adicionales que se hacen fuera del tiempo de instrucción. Las sesiones breves de reflexión de portafolio —cinco a diez minutos al final de la clase, donde el estudiante selecciona una evidencia del trabajo de esa sesión y escribe una reflexión breve sobre qué aprendió— son más efectivas y más sostenibles que las sesiones largas de construcción del portafolio al final del período.</w:t>
      </w:r>
    </w:p>
    <w:p>
      <w:pPr>
        <w:spacing w:before="60" w:after="80" w:line="360" w:lineRule="auto"/>
        <w:jc w:val="both"/>
      </w:pPr>
      <w:r>
        <w:rPr>
          <w:rFonts w:ascii="Calibri" w:hAnsi="Calibri"/>
          <w:b w:val="0"/>
          <w:i w:val="0"/>
          <w:sz w:val="21"/>
        </w:rPr>
        <w:t>El portafolio como instrumento de comunicación con las familias ofrece una alternativa mucho más rica y más significativa que la boleta de calificaciones convencional. Cuando las familias pueden ver concretamente las producciones de sus hijos a lo largo del programa de recuperación —observar los trabajos del inicio y compararlos con los del final, leer las reflexiones del estudiante sobre su propio aprendizaje, ver las evidencias de las competencias alcanzadas—, comprenden de manera mucho más profunda qué está aprendiendo su hijo y qué logros está alcanzando en el programa de recuperación.</w:t>
      </w:r>
    </w:p>
    <w:p>
      <w:pPr>
        <w:spacing w:before="60" w:after="80" w:line="360" w:lineRule="auto"/>
        <w:jc w:val="both"/>
      </w:pPr>
      <w:r>
        <w:rPr>
          <w:rFonts w:ascii="Calibri" w:hAnsi="Calibri"/>
          <w:b w:val="0"/>
          <w:i w:val="0"/>
          <w:sz w:val="21"/>
        </w:rPr>
        <w:t>El portafolio como instrumento de transición entre niveles o entre docentes es una aplicación de este instrumento que tiene especial valor en el contexto panameño, donde el rezago acumulado a lo largo de múltiples ciclos escolares es una de las principales causas de las brechas de aprendizaje que los programas de recuperación intentan abordar. Un portafolio bien documentado del programa de recuperación puede transmitir al docente del siguiente grado o del siguiente nivel educativo información precisa sobre qué ha logrado el estudiante y qué sigue necesitando apoyo, evitando que el nuevo docente tenga que comenzar el diagnóstico desde cero.</w:t>
      </w:r>
    </w:p>
    <w:p>
      <w:pPr>
        <w:spacing w:before="60" w:after="80" w:line="360" w:lineRule="auto"/>
        <w:jc w:val="both"/>
      </w:pPr>
      <w:r>
        <w:rPr>
          <w:rFonts w:ascii="Calibri" w:hAnsi="Calibri"/>
          <w:b w:val="0"/>
          <w:i w:val="0"/>
          <w:sz w:val="21"/>
        </w:rPr>
        <w:t>Las adaptaciones del portafolio para estudiantes con necesidades educativas especiales pueden incluir: la posibilidad de incluir evidencias en formatos alternativos a la escritura —grabaciones de audio, videos, fotografías, muestras de trabajo táctil—, la simplificación del protocolo de reflexión para que sea accesible al nivel lingüístico y cognitivo del estudiante, el apoyo del docente de educación especial o del orientador en el proceso de selección de evidencias y de elaboración de la reflexión, y la adaptación de la rúbrica de evaluación del portafolio para que refleje los objetivos específicos del plan de apoyo individualizado del estudiante.</w:t>
      </w:r>
    </w:p>
    <w:p>
      <w:pPr>
        <w:spacing w:before="60" w:after="80" w:line="360" w:lineRule="auto"/>
        <w:jc w:val="both"/>
      </w:pPr>
      <w:r>
        <w:rPr>
          <w:rFonts w:ascii="Calibri" w:hAnsi="Calibri"/>
          <w:b w:val="0"/>
          <w:i w:val="0"/>
          <w:sz w:val="21"/>
        </w:rPr>
        <w:t>La validación del portafolio como instrumento de evaluación ante el equipo directivo del centro educativo requiere que el docente pueda demostrar la alineación entre las evidencias del portafolio y los estándares curriculares del nivel educativo correspondiente. Esta alineación puede documentarse mediante una tabla de correspondencia que muestre para cada evidencia del portafolio cuál competencia curricular específica demuestra, en qué nivel de la taxonomía de Bloom opera y qué criterio de la rúbrica del programa de recuperación satisface.</w:t>
      </w:r>
    </w:p>
    <w:p>
      <w:pPr>
        <w:spacing w:before="60" w:after="80" w:line="360" w:lineRule="auto"/>
        <w:jc w:val="both"/>
      </w:pPr>
      <w:r>
        <w:rPr>
          <w:rFonts w:ascii="Calibri" w:hAnsi="Calibri"/>
          <w:b w:val="0"/>
          <w:i w:val="0"/>
          <w:sz w:val="21"/>
        </w:rPr>
        <w:t>La escala de presentación del portafolio —la presentación del portafolio completado a un público significativo, como los padres de familia, el equipo directivo del centro o los compañeros de la clase— es una práctica que transforma el portafolio de un instrumento de evaluación privado en una celebración pública del aprendizaje. La presentación del portafolio desarrolla las competencias de comunicación oral del estudiante, fortalece su autoestima académica al hacer visible su progreso ante un público que lo apoya, y comunica a las familias y a la comunidad educativa el trabajo real que se está realizando en el programa de recuperación.</w:t>
      </w:r>
    </w:p>
    <w:p>
      <w:pPr>
        <w:spacing w:before="60" w:after="80" w:line="360" w:lineRule="auto"/>
        <w:jc w:val="both"/>
      </w:pPr>
      <w:r>
        <w:rPr>
          <w:rFonts w:ascii="Calibri" w:hAnsi="Calibri"/>
          <w:b w:val="0"/>
          <w:i w:val="0"/>
          <w:sz w:val="21"/>
        </w:rPr>
        <w:t>La sistematización de la experiencia de uso del portafolio de evidencias —reflexionar sobre qué funcionó bien, qué aspectos del diseño o de la implementación necesitan mejora para el próximo ciclo, y qué aprendió el propio docente sobre el proceso de aprendizaje de sus estudiantes a través de la lectura de los portafolios— es la práctica reflexiva que convierte el uso del portafolio en un motor de desarrollo profesional continuo del docente. Un docente que lee con atención los portafolios de sus estudiantes al final de un programa de recuperación aprende más sobre el proceso de aprendizaje de esos estudiantes que de cualquier otra fuente de información diagnóstica disponible.</w:t>
      </w:r>
    </w:p>
    <w:p/>
    <w:p>
      <w:pPr>
        <w:keepNext/>
        <w:spacing w:before="240" w:after="100"/>
        <w:jc w:val="left"/>
      </w:pPr>
      <w:r>
        <w:rPr>
          <w:rFonts w:ascii="Calibri" w:hAnsi="Calibri"/>
          <w:b/>
          <w:color w:val="12265B"/>
          <w:sz w:val="26"/>
        </w:rPr>
        <w:t>Unidad 10: Evaluación del impacto del programa de recuperación: diseño y aplicación de la evaluación sumativa final</w:t>
      </w:r>
    </w:p>
    <w:p>
      <w:pPr>
        <w:spacing w:before="40" w:after="100" w:line="360" w:lineRule="auto"/>
        <w:jc w:val="both"/>
      </w:pPr>
      <w:r>
        <w:rPr>
          <w:rFonts w:ascii="Calibri" w:hAnsi="Calibri"/>
          <w:b w:val="0"/>
          <w:i/>
          <w:sz w:val="20"/>
        </w:rPr>
        <w:t>Objetivo: Diseñar e interpretar la evaluación sumativa final del programa de recuperación para determinar su impacto sobre el aprendizaje de los estudiantes y para orientar las decisiones sobre el siguiente ciclo de intervención. — Bloom: Evaluar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sumativa final del programa de recuperación de aprendizajes tiene un propósito diferente del de las evaluaciones formativas que han acompañado el proceso a lo largo del programa: no busca ajustar la instrucción en tiempo real sino determinar el nivel de dominio que han alcanzado los estudiantes al término del programa, compararlo con el nivel de partida documentado en el diagnóstico inicial, y producir información que oriente las decisiones sobre el siguiente ciclo de intervención. Esta distinción de propósito debe reflejarse en el diseño del instrumento de evaluación sumativa final.</w:t>
      </w:r>
    </w:p>
    <w:p>
      <w:pPr>
        <w:spacing w:before="60" w:after="80" w:line="360" w:lineRule="auto"/>
        <w:jc w:val="both"/>
      </w:pPr>
      <w:r>
        <w:rPr>
          <w:rFonts w:ascii="Calibri" w:hAnsi="Calibri"/>
          <w:b w:val="0"/>
          <w:i w:val="0"/>
          <w:sz w:val="21"/>
        </w:rPr>
        <w:t>El diseño del instrumento de evaluación sumativa final del programa de recuperación debe responder directamente a las competencias que el programa identificó como prioritarias en el diagnóstico inicial. No tiene sentido diseñar una evaluación sumativa que mida competencias diferentes de las que el programa de recuperación trabajó intensivamente: la evaluación sumativa final es la verificación de que el programa logró lo que se propuso, y solo puede serlo si mide exactamente lo que se trabajó.</w:t>
      </w:r>
    </w:p>
    <w:p>
      <w:pPr>
        <w:spacing w:before="60" w:after="80" w:line="360" w:lineRule="auto"/>
        <w:jc w:val="both"/>
      </w:pPr>
      <w:r>
        <w:rPr>
          <w:rFonts w:ascii="Calibri" w:hAnsi="Calibri"/>
          <w:b w:val="0"/>
          <w:i w:val="0"/>
          <w:sz w:val="21"/>
        </w:rPr>
        <w:t>La comparación del desempeño del estudiante en la evaluación sumativa final con su desempeño en el diagnóstico inicial —usando, idealmente, el mismo instrumento o una versión equivalente del instrumento— es la metodología más directa para determinar si el programa de recuperación produjo el impacto de aprendizaje esperado. Esta comparación pre-post produce una medida del 'valor añadido' del programa: el aprendizaje que ocurrió durante el período de intervención, atribuible —al menos en parte— a las estrategias pedagógicas implementadas en el programa de recuperación.</w:t>
      </w:r>
    </w:p>
    <w:p>
      <w:pPr>
        <w:spacing w:before="60" w:after="80" w:line="360" w:lineRule="auto"/>
        <w:jc w:val="both"/>
      </w:pPr>
      <w:r>
        <w:rPr>
          <w:rFonts w:ascii="Calibri" w:hAnsi="Calibri"/>
          <w:b w:val="0"/>
          <w:i w:val="0"/>
          <w:sz w:val="21"/>
        </w:rPr>
        <w:t>La interpretación de los resultados de la evaluación sumativa final requiere considerar múltiples factores que pueden haber influido sobre el aprendizaje durante el período del programa, además de las estrategias pedagógicas implementadas: los cambios en las condiciones de vida de los estudiantes, la participación de las familias en el apoyo domiciliario, el efecto de otros programas o intervenciones que los estudiantes recibieron simultáneamente, y los factores del contexto escolar —como cambios de docente, interrupciones del calendario escolar o situaciones de crisis institucional— que pueden haber afectado el proceso de recuperación.</w:t>
      </w:r>
    </w:p>
    <w:p>
      <w:pPr>
        <w:spacing w:before="60" w:after="80" w:line="360" w:lineRule="auto"/>
        <w:jc w:val="both"/>
      </w:pPr>
      <w:r>
        <w:rPr>
          <w:rFonts w:ascii="Calibri" w:hAnsi="Calibri"/>
          <w:b w:val="0"/>
          <w:i w:val="0"/>
          <w:sz w:val="21"/>
        </w:rPr>
        <w:t>Los criterios de éxito del programa de recuperación —las metas que el programa se propuso al inicio en términos del porcentaje de estudiantes que alcanzarían el nivel de dominio esperado en cada competencia— son el referente fundamental para la interpretación de los resultados de la evaluación sumativa final. Si el programa logró que el 80% de los estudiantes alcanzaran el dominio esperado en comprensión lectora cuando la meta era el 75%, el programa puede considerarse exitoso en esa dimensión. Si solo el 40% alcanzó el dominio esperado cuando la meta era el 75%, es necesario analizar por qué la intervención fue insuficiente.</w:t>
      </w:r>
    </w:p>
    <w:p>
      <w:pPr>
        <w:spacing w:before="60" w:after="80" w:line="360" w:lineRule="auto"/>
        <w:jc w:val="both"/>
      </w:pPr>
      <w:r>
        <w:rPr>
          <w:rFonts w:ascii="Calibri" w:hAnsi="Calibri"/>
          <w:b w:val="0"/>
          <w:i w:val="0"/>
          <w:sz w:val="21"/>
        </w:rPr>
        <w:t>El análisis de los resultados de la evaluación sumativa final debe hacerse de manera desagregada —por estudiante, por subgrupo de recuperación, por competencia específica y por tipo de brecha— para identificar con precisión qué funcionó y qué no funcionó en el programa. Un análisis desagregado puede revelar, por ejemplo, que la intervención fue muy efectiva para los estudiantes con brechas en comprensión lectora pero insuficiente para los que tenían brechas en producción escrita, lo que orientará el diseño de estrategias más intensivas en producción escrita para el próximo ciclo.</w:t>
      </w:r>
    </w:p>
    <w:p>
      <w:pPr>
        <w:spacing w:before="60" w:after="80" w:line="360" w:lineRule="auto"/>
        <w:jc w:val="both"/>
      </w:pPr>
      <w:r>
        <w:rPr>
          <w:rFonts w:ascii="Calibri" w:hAnsi="Calibri"/>
          <w:b w:val="0"/>
          <w:i w:val="0"/>
          <w:sz w:val="21"/>
        </w:rPr>
        <w:t>La identificación de los estudiantes que al término del programa de recuperación aún no han alcanzado el nivel de dominio esperado —los estudiantes que siguen en rezago a pesar de la intervención— es la información más urgente que produce la evaluación sumativa final, porque esos estudiantes necesitan un plan de continuación del apoyo que el programa de recuperación actual no fue capaz de proporcionarles. Para cada estudiante que sigue en rezago, el análisis de la evaluación sumativa final debe incluir una hipótesis sobre por qué la intervención no fue suficiente y una propuesta de modificación del enfoque para el siguiente ciclo.</w:t>
      </w:r>
    </w:p>
    <w:p>
      <w:pPr>
        <w:spacing w:before="60" w:after="80" w:line="360" w:lineRule="auto"/>
        <w:jc w:val="both"/>
      </w:pPr>
      <w:r>
        <w:rPr>
          <w:rFonts w:ascii="Calibri" w:hAnsi="Calibri"/>
          <w:b w:val="0"/>
          <w:i w:val="0"/>
          <w:sz w:val="21"/>
        </w:rPr>
        <w:t>La comunicación de los resultados de la evaluación sumativa final a las familias debe hacerse de manera accesible, constructiva y orientada al próximo paso. Las familias tienen derecho a saber qué logró su hijo durante el programa de recuperación —expresado en términos de competencias alcanzadas, no solo de calificaciones numéricas— y qué necesita seguir trabajando. Una comunicación que solo informa de los resultados sin proporcionar orientaciones sobre cómo apoyar el aprendizaje continuo en casa deja a las familias en el mismo punto de incertidumbre e impotencia en que estaban antes del programa.</w:t>
      </w:r>
    </w:p>
    <w:p>
      <w:pPr>
        <w:spacing w:before="60" w:after="80" w:line="360" w:lineRule="auto"/>
        <w:jc w:val="both"/>
      </w:pPr>
      <w:r>
        <w:rPr>
          <w:rFonts w:ascii="Calibri" w:hAnsi="Calibri"/>
          <w:b w:val="0"/>
          <w:i w:val="0"/>
          <w:sz w:val="21"/>
        </w:rPr>
        <w:t>La evaluación del impacto del programa de recuperación sobre las condiciones institucionales del centro educativo —¿Dejó el programa capacidades pedagógicas instaladas en el equipo docente? ¿Mejoró la cultura de evaluación formativa del centro? ¿Fortaleció la alianza entre la escuela y las familias?— es una dimensión de la evaluación sumativa final que va más allá del impacto sobre el aprendizaje de los estudiantes específicos del programa. Esta evaluación institucional del impacto del programa permite identificar qué cambios sistémicos produjo el programa y cómo pueden sostenerse más allá de la duración de la intervención específica.</w:t>
      </w:r>
    </w:p>
    <w:p>
      <w:pPr>
        <w:spacing w:before="60" w:after="80" w:line="360" w:lineRule="auto"/>
        <w:jc w:val="both"/>
      </w:pPr>
      <w:r>
        <w:rPr>
          <w:rFonts w:ascii="Calibri" w:hAnsi="Calibri"/>
          <w:b w:val="0"/>
          <w:i w:val="0"/>
          <w:sz w:val="21"/>
        </w:rPr>
        <w:t>El diseño del próximo ciclo de intervención a partir de los resultados de la evaluación sumativa final es el producto más directamente práctico de este proceso de evaluación del impacto. Los resultados de la evaluación sumativa final orientan: qué competencias requieren un ciclo adicional de intervención intensiva, qué estrategias pedagógicas demostraron mayor efectividad y deben mantenerse o intensificarse, qué estrategias demostraron menor efectividad y deben ser reemplazadas o modificadas, y qué condiciones del contexto —disponibilidad de tiempo, materiales, apoyo institucional— necesitan mejorarse para que el próximo ciclo sea más efectivo.</w:t>
      </w:r>
    </w:p>
    <w:p>
      <w:pPr>
        <w:spacing w:before="60" w:after="80" w:line="360" w:lineRule="auto"/>
        <w:jc w:val="both"/>
      </w:pPr>
      <w:r>
        <w:rPr>
          <w:rFonts w:ascii="Calibri" w:hAnsi="Calibri"/>
          <w:b w:val="0"/>
          <w:i w:val="0"/>
          <w:sz w:val="21"/>
        </w:rPr>
        <w:t>La documentación de los hallazgos del proceso de evaluación del impacto del programa de recuperación —un informe breve que describa el diseño del programa, los datos del diagnóstico inicial, los resultados de la evaluación sumativa final, el análisis de los factores que contribuyeron al éxito o a las limitaciones del programa, y las recomendaciones para el próximo ciclo— es una práctica de sistematización de la experiencia que tiene valor tanto para el propio docente como para la comunidad docente más amplia. Este informe, compartido con el equipo directivo del centro y con los colegas de la misma institución o de instituciones similares, puede contribuir al aprendizaje colectivo sobre qué tipos de programas de recuperación de aprendizajes son más efectivos en los contextos específicos de la educación panameña.</w:t>
      </w:r>
    </w:p>
    <w:p>
      <w:pPr>
        <w:spacing w:before="60" w:after="80" w:line="360" w:lineRule="auto"/>
        <w:jc w:val="both"/>
      </w:pPr>
      <w:r>
        <w:rPr>
          <w:rFonts w:ascii="Calibri" w:hAnsi="Calibri"/>
          <w:b w:val="0"/>
          <w:i w:val="0"/>
          <w:sz w:val="21"/>
        </w:rPr>
        <w:t>La celebración de los logros del programa de recuperación —reconocer pública y explícitamente el progreso de los estudiantes, el compromiso de las familias y el esfuerzo del equipo docente— es el último paso del ciclo de recuperación y el primero del siguiente. Los estudiantes que sienten que su progreso —aunque sea parcial— es reconocido y celebrado por la comunidad escolar tienen mayor disposición a continuar el esfuerzo de recuperación en el próximo ciclo. Las familias que sienten que su colaboración fue valorada están más dispuestas a continuar participando. Y el docente que reflexiona sobre lo que logró —además de sobre lo que no logró— tiene mayor energía y motivación para emprender el próximo ciclo de intervención con creatividad y con compromiso.</w:t>
      </w:r>
    </w:p>
    <w:p/>
    <w:p>
      <w:r>
        <w:br w:type="page"/>
      </w:r>
    </w:p>
    <w:p>
      <w:pPr>
        <w:keepNext/>
        <w:spacing w:before="320" w:after="160"/>
        <w:jc w:val="left"/>
      </w:pPr>
      <w:r>
        <w:rPr>
          <w:rFonts w:ascii="Calibri" w:hAnsi="Calibri"/>
          <w:b/>
          <w:color w:val="8B6914"/>
          <w:sz w:val="32"/>
        </w:rPr>
        <w:t>MÓDULO 3: Estrategias Pedagógicas Basadas en Evidencia para la Recuperación de Competencias</w:t>
      </w:r>
    </w:p>
    <w:p>
      <w:pPr>
        <w:keepNext w:val="0"/>
        <w:spacing w:before="40" w:after="120"/>
        <w:jc w:val="left"/>
      </w:pPr>
      <w:r>
        <w:rPr>
          <w:rFonts w:ascii="Calibri" w:hAnsi="Calibri"/>
          <w:b w:val="0"/>
          <w:color w:val="5A6370"/>
          <w:sz w:val="22"/>
        </w:rPr>
        <w:t>(Módulo Base — Compartido con todos los niveles)</w:t>
      </w:r>
    </w:p>
    <w:p>
      <w:pPr>
        <w:pBdr>
          <w:bottom w:val="single" w:sz="4" w:space="1" w:color="8B6914"/>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6914"/>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seleccionará y aplicará estrategias pedagógicas de mayor evidencia de efectividad para la recuperación de aprendizajes, diseñando intervenciones diferenciadas apropiadas para el nivel de Premedia.</w:t>
            </w:r>
          </w:p>
        </w:tc>
      </w:tr>
      <w:tr>
        <w:tc>
          <w:tcPr>
            <w:tcW w:type="dxa" w:w="2551"/>
            <w:shd w:val="clear" w:color="auto" w:fill="8B6914"/>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8B6914"/>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PME-3: Portafolio de estrategias pedagógicas seleccionadas para la recuperación, con secuencias didácticas diseñadas y materiales pedagógicos elaborados para las competencias prioritarias identificadas en el PME-2.</w:t>
            </w:r>
          </w:p>
        </w:tc>
      </w:tr>
    </w:tbl>
    <w:p/>
    <w:p>
      <w:pPr>
        <w:keepNext w:val="0"/>
        <w:spacing w:before="160" w:after="60"/>
        <w:jc w:val="left"/>
      </w:pPr>
      <w:r>
        <w:rPr>
          <w:rFonts w:ascii="Calibri" w:hAnsi="Calibri"/>
          <w:b w:val="0"/>
          <w:color w:val="5A6370"/>
          <w:sz w:val="22"/>
        </w:rPr>
        <w:t>Fuentes de Referencia — Módulo 3:</w:t>
      </w:r>
    </w:p>
    <w:p>
      <w:pPr>
        <w:spacing w:before="20" w:after="20" w:line="360" w:lineRule="auto"/>
        <w:ind w:left="283"/>
        <w:jc w:val="both"/>
      </w:pPr>
      <w:r>
        <w:rPr>
          <w:rFonts w:ascii="Calibri" w:hAnsi="Calibri"/>
          <w:b w:val="0"/>
          <w:i w:val="0"/>
          <w:color w:val="5A6370"/>
          <w:sz w:val="18"/>
        </w:rPr>
        <w:t>○  EEF (2023). Teaching and Learning Toolkit.</w:t>
      </w:r>
    </w:p>
    <w:p>
      <w:pPr>
        <w:spacing w:before="20" w:after="20" w:line="360" w:lineRule="auto"/>
        <w:ind w:left="283"/>
        <w:jc w:val="both"/>
      </w:pPr>
      <w:r>
        <w:rPr>
          <w:rFonts w:ascii="Calibri" w:hAnsi="Calibri"/>
          <w:b w:val="0"/>
          <w:i w:val="0"/>
          <w:color w:val="5A6370"/>
          <w:sz w:val="18"/>
        </w:rPr>
        <w:t>○  Hattie (2023). Visible Learning.</w:t>
      </w:r>
    </w:p>
    <w:p>
      <w:pPr>
        <w:spacing w:before="20" w:after="20" w:line="360" w:lineRule="auto"/>
        <w:ind w:left="283"/>
        <w:jc w:val="both"/>
      </w:pPr>
      <w:r>
        <w:rPr>
          <w:rFonts w:ascii="Calibri" w:hAnsi="Calibri"/>
          <w:b w:val="0"/>
          <w:i w:val="0"/>
          <w:color w:val="5A6370"/>
          <w:sz w:val="18"/>
        </w:rPr>
        <w:t>○  Tomlinson (2017). Differentiated Instruction.</w:t>
      </w:r>
    </w:p>
    <w:p>
      <w:pPr>
        <w:spacing w:before="20" w:after="20" w:line="360" w:lineRule="auto"/>
        <w:ind w:left="283"/>
        <w:jc w:val="both"/>
      </w:pPr>
      <w:r>
        <w:rPr>
          <w:rFonts w:ascii="Calibri" w:hAnsi="Calibri"/>
          <w:b w:val="0"/>
          <w:i w:val="0"/>
          <w:color w:val="5A6370"/>
          <w:sz w:val="18"/>
        </w:rPr>
        <w:t>○  Nickow et al. (2020). Effects of Tutoring. NBER.</w:t>
      </w:r>
    </w:p>
    <w:p>
      <w:pPr>
        <w:spacing w:before="20" w:after="20" w:line="360" w:lineRule="auto"/>
        <w:ind w:left="283"/>
        <w:jc w:val="both"/>
      </w:pPr>
      <w:r>
        <w:rPr>
          <w:rFonts w:ascii="Calibri" w:hAnsi="Calibri"/>
          <w:b w:val="0"/>
          <w:i w:val="0"/>
          <w:color w:val="5A6370"/>
          <w:sz w:val="18"/>
        </w:rPr>
        <w:t>○  CAST (2018). UDL Guidelines.</w:t>
      </w:r>
    </w:p>
    <w:p>
      <w:pPr>
        <w:spacing w:before="20" w:after="20" w:line="360" w:lineRule="auto"/>
        <w:ind w:left="283"/>
        <w:jc w:val="both"/>
      </w:pPr>
      <w:r>
        <w:rPr>
          <w:rFonts w:ascii="Calibri" w:hAnsi="Calibri"/>
          <w:b w:val="0"/>
          <w:i w:val="0"/>
          <w:color w:val="5A6370"/>
          <w:sz w:val="18"/>
        </w:rPr>
        <w:t>○  Wiliam (2011). Embedded Formative Assessment.</w:t>
      </w:r>
    </w:p>
    <w:p>
      <w:pPr>
        <w:spacing w:before="20" w:after="20" w:line="360" w:lineRule="auto"/>
        <w:ind w:left="283"/>
        <w:jc w:val="both"/>
      </w:pPr>
      <w:r>
        <w:rPr>
          <w:rFonts w:ascii="Calibri" w:hAnsi="Calibri"/>
          <w:b w:val="0"/>
          <w:i w:val="0"/>
          <w:color w:val="5A6370"/>
          <w:sz w:val="18"/>
        </w:rPr>
        <w:t>○  Save the Children/BM (2021). Accelerating Recovery.</w:t>
      </w:r>
    </w:p>
    <w:p>
      <w:pPr>
        <w:spacing w:before="20" w:after="20" w:line="360" w:lineRule="auto"/>
        <w:ind w:left="283"/>
        <w:jc w:val="both"/>
      </w:pPr>
      <w:r>
        <w:rPr>
          <w:rFonts w:ascii="Calibri" w:hAnsi="Calibri"/>
          <w:b w:val="0"/>
          <w:i w:val="0"/>
          <w:color w:val="5A6370"/>
          <w:sz w:val="18"/>
        </w:rPr>
        <w:t>○  Mayer (2009). Multimedia Learning.</w:t>
      </w:r>
    </w:p>
    <w:p>
      <w:pPr>
        <w:spacing w:before="20" w:after="20" w:line="360" w:lineRule="auto"/>
        <w:ind w:left="283"/>
        <w:jc w:val="both"/>
      </w:pPr>
      <w:r>
        <w:rPr>
          <w:rFonts w:ascii="Calibri" w:hAnsi="Calibri"/>
          <w:b w:val="0"/>
          <w:i w:val="0"/>
          <w:color w:val="5A6370"/>
          <w:sz w:val="18"/>
        </w:rPr>
        <w:t>○  Gay (2018). Culturally Responsive Teaching.</w:t>
      </w:r>
    </w:p>
    <w:p>
      <w:pPr>
        <w:spacing w:before="20" w:after="20" w:line="360" w:lineRule="auto"/>
        <w:ind w:left="283"/>
        <w:jc w:val="both"/>
      </w:pPr>
      <w:r>
        <w:rPr>
          <w:rFonts w:ascii="Calibri" w:hAnsi="Calibri"/>
          <w:b w:val="0"/>
          <w:i w:val="0"/>
          <w:color w:val="5A6370"/>
          <w:sz w:val="18"/>
        </w:rPr>
        <w:t>○  Kagan (2009). Cooperative Learning.</w:t>
      </w:r>
    </w:p>
    <w:p/>
    <w:p>
      <w:pPr>
        <w:keepNext/>
        <w:spacing w:before="240" w:after="100"/>
        <w:jc w:val="left"/>
      </w:pPr>
      <w:r>
        <w:rPr>
          <w:rFonts w:ascii="Calibri" w:hAnsi="Calibri"/>
          <w:b/>
          <w:color w:val="12265B"/>
          <w:sz w:val="26"/>
        </w:rPr>
        <w:t>Unidad 1: Fundamentos teóricos y normativos de la estrategias pedagógicas basadas en evidencia para la recuperación de competencias</w:t>
      </w:r>
    </w:p>
    <w:p>
      <w:pPr>
        <w:spacing w:before="40" w:after="100" w:line="360" w:lineRule="auto"/>
        <w:jc w:val="both"/>
      </w:pPr>
      <w:r>
        <w:rPr>
          <w:rFonts w:ascii="Calibri" w:hAnsi="Calibri"/>
          <w:b w:val="0"/>
          <w:i/>
          <w:sz w:val="20"/>
        </w:rPr>
        <w:t>Objetivo: Fundamentos teóricos y normativos de la estrategias pedagógicas basadas en evidencia para la recuperación de competencias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estrategias pedagógicas basadas en evidencia para la recuperación de competencias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fundamentos teóricos y normativos de la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estrategias pedagógicas basadas en evidencia para la recuperación de competencias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estrategias pedagógicas basadas en evidencia para la recuperación de competencias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estrategias pedagógicas basadas en evidencia para la recuperación de competencias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estrategias pedagógicas basadas en evidencia para la recuperación de competencias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estrategias pedagógicas basadas en evidencia para la recuperación de competencias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estrategias pedagógicas basadas en evidencia para la recuperación de competencias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estrategias pedagógicas basadas en evidencia para la recuperación de competencias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estrategias pedagógicas basadas en evidencia para la recuperación de competencias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estrategias pedagógicas basadas en evidencia para la recuperación de competencias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estrategias pedagógicas basadas en evidencia para la recuperación de competencias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estrategias pedagógicas basadas en evidencia para la recuperación de competencias</w:t>
      </w:r>
    </w:p>
    <w:p>
      <w:pPr>
        <w:spacing w:before="40" w:after="100" w:line="360" w:lineRule="auto"/>
        <w:jc w:val="both"/>
      </w:pPr>
      <w:r>
        <w:rPr>
          <w:rFonts w:ascii="Calibri" w:hAnsi="Calibri"/>
          <w:b w:val="0"/>
          <w:i/>
          <w:sz w:val="20"/>
        </w:rPr>
        <w:t>Objetivo: Diagnóstico y evaluación formativa para la estrategias pedagógicas basadas en evidencia para la recuperación de competencias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estrategias pedagógicas basadas en evidencia para la recuperación de competencias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diagnóstico y evaluación formativa para la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estrategias pedagógicas basadas en evidencia para la recuperación de competencias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estrategias pedagógicas basadas en evidencia para la recuperación de competencias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estrategias pedagógicas basadas en evidencia para la recuperación de competencias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estrategias pedagógicas basadas en evidencia para la recuperación de competencias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estrategias pedagógicas basadas en evidencia para la recuperación de competencias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estrategias pedagógicas basadas en evidencia para la recuperación de competencias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estrategias pedagógicas basadas en evidencia para la recuperación de competencias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estrategias pedagógicas basadas en evidencia para la recuperación de competencias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estrategias pedagógicas basadas en evidencia para la recuperación de competencias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estrategias pedagógicas basadas en evidencia para la recuperación de competencias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estrategias pedagógicas basadas en evidencia para la recuperación de competencias</w:t>
      </w:r>
    </w:p>
    <w:p>
      <w:pPr>
        <w:spacing w:before="40" w:after="100" w:line="360" w:lineRule="auto"/>
        <w:jc w:val="both"/>
      </w:pPr>
      <w:r>
        <w:rPr>
          <w:rFonts w:ascii="Calibri" w:hAnsi="Calibri"/>
          <w:b w:val="0"/>
          <w:i/>
          <w:sz w:val="20"/>
        </w:rPr>
        <w:t>Objetivo: Estrategias pedagógicas de alta efectividad para estrategias pedagógicas basadas en evidencia para la recuperación de competencias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estrategias pedagógicas basadas en evidencia para la recuperación de competencias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estrategias pedagógicas de alta efectividad para estrategias pedagógicas basadas en evidencia para la recuperación de competencias.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estrategias pedagógicas basadas en evidencia para la recuperación de competencias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estrategias pedagógicas basadas en evidencia para la recuperación de competencias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estrategias pedagógicas basadas en evidencia para la recuperación de competencias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estrategias pedagógicas basadas en evidencia para la recuperación de competencias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estrategias pedagógicas basadas en evidencia para la recuperación de competencias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estrategias pedagógicas basadas en evidencia para la recuperación de competencias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estrategias pedagógicas basadas en evidencia para la recuperación de competencias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estrategias pedagógicas basadas en evidencia para la recuperación de competencias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estrategias pedagógicas basadas en evidencia para la recuperación de competencias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estrategias pedagógicas basadas en evidencia para la recuperación de competencias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PME-3: Proyecto integrador — plan de recuperación específico</w:t>
      </w:r>
    </w:p>
    <w:p>
      <w:pPr>
        <w:spacing w:before="40" w:after="100" w:line="360" w:lineRule="auto"/>
        <w:jc w:val="both"/>
      </w:pPr>
      <w:r>
        <w:rPr>
          <w:rFonts w:ascii="Calibri" w:hAnsi="Calibri"/>
          <w:b w:val="0"/>
          <w:i/>
          <w:sz w:val="20"/>
        </w:rPr>
        <w:t>Objetivo: PME-3: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pme-3: proyecto integrador — plan de recuperación específico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pme-3: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pme-3: proyecto integrador — plan de recuperación específico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pme-3: proyecto integrador — plan de recuperación específico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pme-3: proyecto integrador — plan de recuperación específico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pme-3: proyecto integrador — plan de recuperación específico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pme-3: proyecto integrador — plan de recuperación específico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pme-3: proyecto integrador — plan de recuperación específico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pme-3: proyecto integrador — plan de recuperación específico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pme-3: proyecto integrador — plan de recuperación específico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pme-3: proyecto integrador — plan de recuperación específico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pme-3: proyecto integrador — plan de recuperación específico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6914"/>
          <w:sz w:val="32"/>
        </w:rPr>
        <w:t>MÓDULO 4: Diseño de Planes de Recuperación, Nivelación y Acompañamiento Pedagógico</w:t>
      </w:r>
    </w:p>
    <w:p>
      <w:pPr>
        <w:keepNext w:val="0"/>
        <w:spacing w:before="40" w:after="120"/>
        <w:jc w:val="left"/>
      </w:pPr>
      <w:r>
        <w:rPr>
          <w:rFonts w:ascii="Calibri" w:hAnsi="Calibri"/>
          <w:b w:val="0"/>
          <w:color w:val="5A6370"/>
          <w:sz w:val="22"/>
        </w:rPr>
        <w:t>(Módulo Base — Compartido con todos los niveles)</w:t>
      </w:r>
    </w:p>
    <w:p>
      <w:pPr>
        <w:pBdr>
          <w:bottom w:val="single" w:sz="4" w:space="1" w:color="8B6914"/>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6914"/>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planes de recuperación de aprendizajes completos e integradores para el nivel de Premedia, articulando el diagnóstico, las intervenciones pedagógicas, la evaluación formativa y el acompañamiento familiar y comunitario.</w:t>
            </w:r>
          </w:p>
        </w:tc>
      </w:tr>
      <w:tr>
        <w:tc>
          <w:tcPr>
            <w:tcW w:type="dxa" w:w="2551"/>
            <w:shd w:val="clear" w:color="auto" w:fill="8B6914"/>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26 horas</w:t>
            </w:r>
          </w:p>
        </w:tc>
      </w:tr>
      <w:tr>
        <w:tc>
          <w:tcPr>
            <w:tcW w:type="dxa" w:w="2551"/>
            <w:shd w:val="clear" w:color="auto" w:fill="8B6914"/>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PME-4: Plan institucional de recuperación de aprendizajes completo, incluyendo el diagnóstico integral, los objetivos SMART de recuperación, las intervenciones pedagógicas diferenciadas, el plan de evaluación formativa y la estrategia de articulación familiar y comunitaria.</w:t>
            </w:r>
          </w:p>
        </w:tc>
      </w:tr>
    </w:tbl>
    <w:p/>
    <w:p>
      <w:pPr>
        <w:keepNext w:val="0"/>
        <w:spacing w:before="160" w:after="60"/>
        <w:jc w:val="left"/>
      </w:pPr>
      <w:r>
        <w:rPr>
          <w:rFonts w:ascii="Calibri" w:hAnsi="Calibri"/>
          <w:b w:val="0"/>
          <w:color w:val="5A6370"/>
          <w:sz w:val="22"/>
        </w:rPr>
        <w:t>Fuentes de Referencia — Módulo 4:</w:t>
      </w:r>
    </w:p>
    <w:p>
      <w:pPr>
        <w:spacing w:before="20" w:after="20" w:line="360" w:lineRule="auto"/>
        <w:ind w:left="283"/>
        <w:jc w:val="both"/>
      </w:pPr>
      <w:r>
        <w:rPr>
          <w:rFonts w:ascii="Calibri" w:hAnsi="Calibri"/>
          <w:b w:val="0"/>
          <w:i w:val="0"/>
          <w:color w:val="5A6370"/>
          <w:sz w:val="18"/>
        </w:rPr>
        <w:t>○  Fullan (2021). The Right Drivers for Whole System Success.</w:t>
      </w:r>
    </w:p>
    <w:p>
      <w:pPr>
        <w:spacing w:before="20" w:after="20" w:line="360" w:lineRule="auto"/>
        <w:ind w:left="283"/>
        <w:jc w:val="both"/>
      </w:pPr>
      <w:r>
        <w:rPr>
          <w:rFonts w:ascii="Calibri" w:hAnsi="Calibri"/>
          <w:b w:val="0"/>
          <w:i w:val="0"/>
          <w:color w:val="5A6370"/>
          <w:sz w:val="18"/>
        </w:rPr>
        <w:t>○  MEDUCA (2022). Resolución 489.</w:t>
      </w:r>
    </w:p>
    <w:p>
      <w:pPr>
        <w:spacing w:before="20" w:after="20" w:line="360" w:lineRule="auto"/>
        <w:ind w:left="283"/>
        <w:jc w:val="both"/>
      </w:pPr>
      <w:r>
        <w:rPr>
          <w:rFonts w:ascii="Calibri" w:hAnsi="Calibri"/>
          <w:b w:val="0"/>
          <w:i w:val="0"/>
          <w:color w:val="5A6370"/>
          <w:sz w:val="18"/>
        </w:rPr>
        <w:t>○  MEDUCA (2024). Resolución 897.</w:t>
      </w:r>
    </w:p>
    <w:p>
      <w:pPr>
        <w:spacing w:before="20" w:after="20" w:line="360" w:lineRule="auto"/>
        <w:ind w:left="283"/>
        <w:jc w:val="both"/>
      </w:pPr>
      <w:r>
        <w:rPr>
          <w:rFonts w:ascii="Calibri" w:hAnsi="Calibri"/>
          <w:b w:val="0"/>
          <w:i w:val="0"/>
          <w:color w:val="5A6370"/>
          <w:sz w:val="18"/>
        </w:rPr>
        <w:t>○  Save the Children (2021). Accelerating Recovery.</w:t>
      </w:r>
    </w:p>
    <w:p>
      <w:pPr>
        <w:spacing w:before="20" w:after="20" w:line="360" w:lineRule="auto"/>
        <w:ind w:left="283"/>
        <w:jc w:val="both"/>
      </w:pPr>
      <w:r>
        <w:rPr>
          <w:rFonts w:ascii="Calibri" w:hAnsi="Calibri"/>
          <w:b w:val="0"/>
          <w:i w:val="0"/>
          <w:color w:val="5A6370"/>
          <w:sz w:val="18"/>
        </w:rPr>
        <w:t>○  UNESCO (2022). GEM Report.</w:t>
      </w:r>
    </w:p>
    <w:p>
      <w:pPr>
        <w:spacing w:before="20" w:after="20" w:line="360" w:lineRule="auto"/>
        <w:ind w:left="283"/>
        <w:jc w:val="both"/>
      </w:pPr>
      <w:r>
        <w:rPr>
          <w:rFonts w:ascii="Calibri" w:hAnsi="Calibri"/>
          <w:b w:val="0"/>
          <w:i w:val="0"/>
          <w:color w:val="5A6370"/>
          <w:sz w:val="18"/>
        </w:rPr>
        <w:t>○  Epstein (2001). School, Family, Community Partnerships.</w:t>
      </w:r>
    </w:p>
    <w:p>
      <w:pPr>
        <w:spacing w:before="20" w:after="20" w:line="360" w:lineRule="auto"/>
        <w:ind w:left="283"/>
        <w:jc w:val="both"/>
      </w:pPr>
      <w:r>
        <w:rPr>
          <w:rFonts w:ascii="Calibri" w:hAnsi="Calibri"/>
          <w:b w:val="0"/>
          <w:i w:val="0"/>
          <w:color w:val="5A6370"/>
          <w:sz w:val="18"/>
        </w:rPr>
        <w:t>○  Dufour et al. (2016). Learning by Doing.</w:t>
      </w:r>
    </w:p>
    <w:p>
      <w:pPr>
        <w:spacing w:before="20" w:after="20" w:line="360" w:lineRule="auto"/>
        <w:ind w:left="283"/>
        <w:jc w:val="both"/>
      </w:pPr>
      <w:r>
        <w:rPr>
          <w:rFonts w:ascii="Calibri" w:hAnsi="Calibri"/>
          <w:b w:val="0"/>
          <w:i w:val="0"/>
          <w:color w:val="5A6370"/>
          <w:sz w:val="18"/>
        </w:rPr>
        <w:t>○  Sergiovanni (1994). Building Community in Schools.</w:t>
      </w:r>
    </w:p>
    <w:p>
      <w:pPr>
        <w:spacing w:before="20" w:after="20" w:line="360" w:lineRule="auto"/>
        <w:ind w:left="283"/>
        <w:jc w:val="both"/>
      </w:pPr>
      <w:r>
        <w:rPr>
          <w:rFonts w:ascii="Calibri" w:hAnsi="Calibri"/>
          <w:b w:val="0"/>
          <w:i w:val="0"/>
          <w:color w:val="5A6370"/>
          <w:sz w:val="18"/>
        </w:rPr>
        <w:t>○  Darling-Hammond (2017). Effective Teacher Professional Development.</w:t>
      </w:r>
    </w:p>
    <w:p>
      <w:pPr>
        <w:spacing w:before="20" w:after="20" w:line="360" w:lineRule="auto"/>
        <w:ind w:left="283"/>
        <w:jc w:val="both"/>
      </w:pPr>
      <w:r>
        <w:rPr>
          <w:rFonts w:ascii="Calibri" w:hAnsi="Calibri"/>
          <w:b w:val="0"/>
          <w:i w:val="0"/>
          <w:color w:val="5A6370"/>
          <w:sz w:val="18"/>
        </w:rPr>
        <w:t>○  BID (2023). Educación en América Latina.</w:t>
      </w:r>
    </w:p>
    <w:p/>
    <w:p>
      <w:pPr>
        <w:keepNext/>
        <w:spacing w:before="240" w:after="100"/>
        <w:jc w:val="left"/>
      </w:pPr>
      <w:r>
        <w:rPr>
          <w:rFonts w:ascii="Calibri" w:hAnsi="Calibri"/>
          <w:b/>
          <w:color w:val="12265B"/>
          <w:sz w:val="26"/>
        </w:rPr>
        <w:t>Unidad 1: Fundamentos teóricos y normativos de la diseño de planes de recuperación, nivelación y acompañamiento pedagógico</w:t>
      </w:r>
    </w:p>
    <w:p>
      <w:pPr>
        <w:spacing w:before="40" w:after="100" w:line="360" w:lineRule="auto"/>
        <w:jc w:val="both"/>
      </w:pPr>
      <w:r>
        <w:rPr>
          <w:rFonts w:ascii="Calibri" w:hAnsi="Calibri"/>
          <w:b w:val="0"/>
          <w:i/>
          <w:sz w:val="20"/>
        </w:rPr>
        <w:t>Objetivo: Fundamentos teóricos y normativos de la diseño de planes de recuperación, nivelación y acompañamiento pedagógico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diseño de planes de recuperación, nivelación y acompañamiento pedagógico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fundamentos teóricos y normativos de la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diseño de planes de recuperación, nivelación y acompañamiento pedagógico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diseño de planes de recuperación, nivelación y acompañamiento pedagógico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diseño de planes de recuperación, nivelación y acompañamiento pedagógico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diseño de planes de recuperación, nivelación y acompañamiento pedagógico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diseño de planes de recuperación, nivelación y acompañamiento pedagógico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diseño de planes de recuperación, nivelación y acompañamiento pedagógico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diseño de planes de recuperación, nivelación y acompañamiento pedagógico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diseño de planes de recuperación, nivelación y acompañamiento pedagógico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diseño de planes de recuperación, nivelación y acompañamiento pedagógico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diseño de planes de recuperación, nivelación y acompañamiento pedagógico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diseño de planes de recuperación, nivelación y acompañamiento pedagógico</w:t>
      </w:r>
    </w:p>
    <w:p>
      <w:pPr>
        <w:spacing w:before="40" w:after="100" w:line="360" w:lineRule="auto"/>
        <w:jc w:val="both"/>
      </w:pPr>
      <w:r>
        <w:rPr>
          <w:rFonts w:ascii="Calibri" w:hAnsi="Calibri"/>
          <w:b w:val="0"/>
          <w:i/>
          <w:sz w:val="20"/>
        </w:rPr>
        <w:t>Objetivo: Diagnóstico y evaluación formativa para la diseño de planes de recuperación, nivelación y acompañamiento pedagógico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diseño de planes de recuperación, nivelación y acompañamiento pedagógico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diagnóstico y evaluación formativa para la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diseño de planes de recuperación, nivelación y acompañamiento pedagógico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diseño de planes de recuperación, nivelación y acompañamiento pedagógico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diseño de planes de recuperación, nivelación y acompañamiento pedagógico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diseño de planes de recuperación, nivelación y acompañamiento pedagógico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diseño de planes de recuperación, nivelación y acompañamiento pedagógico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diseño de planes de recuperación, nivelación y acompañamiento pedagógico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diseño de planes de recuperación, nivelación y acompañamiento pedagógico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diseño de planes de recuperación, nivelación y acompañamiento pedagógico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diseño de planes de recuperación, nivelación y acompañamiento pedagógico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diseño de planes de recuperación, nivelación y acompañamiento pedagógico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diseño de planes de recuperación, nivelación y acompañamiento pedagógico</w:t>
      </w:r>
    </w:p>
    <w:p>
      <w:pPr>
        <w:spacing w:before="40" w:after="100" w:line="360" w:lineRule="auto"/>
        <w:jc w:val="both"/>
      </w:pPr>
      <w:r>
        <w:rPr>
          <w:rFonts w:ascii="Calibri" w:hAnsi="Calibri"/>
          <w:b w:val="0"/>
          <w:i/>
          <w:sz w:val="20"/>
        </w:rPr>
        <w:t>Objetivo: Estrategias pedagógicas de alta efectividad para diseño de planes de recuperación, nivelación y acompañamiento pedagógico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diseño de planes de recuperación, nivelación y acompañamiento pedagógico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estrategias pedagógicas de alta efectividad para diseño de planes de recuperación, nivelación y acompañamiento pedagógico.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diseño de planes de recuperación, nivelación y acompañamiento pedagógico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diseño de planes de recuperación, nivelación y acompañamiento pedagógico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diseño de planes de recuperación, nivelación y acompañamiento pedagógico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diseño de planes de recuperación, nivelación y acompañamiento pedagógico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diseño de planes de recuperación, nivelación y acompañamiento pedagógico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diseño de planes de recuperación, nivelación y acompañamiento pedagógico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diseño de planes de recuperación, nivelación y acompañamiento pedagógico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diseño de planes de recuperación, nivelación y acompañamiento pedagógico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diseño de planes de recuperación, nivelación y acompañamiento pedagógico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diseño de planes de recuperación, nivelación y acompañamiento pedagógico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PME-4: Proyecto integrador — plan de recuperación específico</w:t>
      </w:r>
    </w:p>
    <w:p>
      <w:pPr>
        <w:spacing w:before="40" w:after="100" w:line="360" w:lineRule="auto"/>
        <w:jc w:val="both"/>
      </w:pPr>
      <w:r>
        <w:rPr>
          <w:rFonts w:ascii="Calibri" w:hAnsi="Calibri"/>
          <w:b w:val="0"/>
          <w:i/>
          <w:sz w:val="20"/>
        </w:rPr>
        <w:t>Objetivo: PME-4: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pme-4: proyecto integrador — plan de recuperación específico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pme-4: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pme-4: proyecto integrador — plan de recuperación específico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pme-4: proyecto integrador — plan de recuperación específico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pme-4: proyecto integrador — plan de recuperación específico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pme-4: proyecto integrador — plan de recuperación específico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pme-4: proyecto integrador — plan de recuperación específico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pme-4: proyecto integrador — plan de recuperación específico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pme-4: proyecto integrador — plan de recuperación específico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pme-4: proyecto integrador — plan de recuperación específico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pme-4: proyecto integrador — plan de recuperación específico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pme-4: proyecto integrador — plan de recuperación específico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6914"/>
          <w:sz w:val="32"/>
        </w:rPr>
        <w:t>MÓDULO 5: Desarrollo Adolescente, Identidad y Bienestar Socioemocional en Premedia</w:t>
      </w:r>
    </w:p>
    <w:p>
      <w:pPr>
        <w:keepNext w:val="0"/>
        <w:spacing w:before="40" w:after="120"/>
        <w:jc w:val="left"/>
      </w:pPr>
      <w:r>
        <w:rPr>
          <w:rFonts w:ascii="Calibri" w:hAnsi="Calibri"/>
          <w:b w:val="0"/>
          <w:color w:val="5A6370"/>
          <w:sz w:val="22"/>
        </w:rPr>
        <w:t>(Módulo Específico — Premedia)</w:t>
      </w:r>
    </w:p>
    <w:p>
      <w:pPr>
        <w:pBdr>
          <w:bottom w:val="single" w:sz="4" w:space="1" w:color="8B6914"/>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6914"/>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Desarrollo Adolescente, Identidad y Bienestar Socioemocional en Premedia, con fundamento en la investigación sobre el desarrollo propio del nivel de Premedia y en las evidencias pedagógicas internacionales más relevantes para este campo.</w:t>
            </w:r>
          </w:p>
        </w:tc>
      </w:tr>
      <w:tr>
        <w:tc>
          <w:tcPr>
            <w:tcW w:type="dxa" w:w="2551"/>
            <w:shd w:val="clear" w:color="auto" w:fill="8B6914"/>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8B6914"/>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PME-5: Plan específico de recuperación para Desarrollo Adolescente, Identidad y Bienestar Socioemocional en Premedia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5:</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desarrollo adolescente, identidad y bienestar socioemocional en premedia</w:t>
      </w:r>
    </w:p>
    <w:p>
      <w:pPr>
        <w:spacing w:before="40" w:after="100" w:line="360" w:lineRule="auto"/>
        <w:jc w:val="both"/>
      </w:pPr>
      <w:r>
        <w:rPr>
          <w:rFonts w:ascii="Calibri" w:hAnsi="Calibri"/>
          <w:b w:val="0"/>
          <w:i/>
          <w:sz w:val="20"/>
        </w:rPr>
        <w:t>Objetivo: Fundamentos teóricos y normativos de la desarrollo adolescente, identidad y bienestar socioemocional en premedia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desarrollo adolescente, identidad y bienestar socioemocional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fundamentos teóricos y normativos de la desarrollo adolescente, identidad y bienestar socioemocional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desarrollo adolescente, identidad y bienestar socioemocional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desarrollo adolescente, identidad y bienestar socioemocional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desarrollo adolescente, identidad y bienestar socioemocional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desarrollo adolescente, identidad y bienestar socioemocional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desarrollo adolescente, identidad y bienestar socioemocional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desarrollo adolescente, identidad y bienestar socioemocional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desarrollo adolescente, identidad y bienestar socioemocional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desarrollo adolescente, identidad y bienestar socioemocional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desarrollo adolescente, identidad y bienestar socioemocional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desarrollo adolescente, identidad y bienestar socioemocional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desarrollo adolescente, identidad y bienestar socioemocional en premedia</w:t>
      </w:r>
    </w:p>
    <w:p>
      <w:pPr>
        <w:spacing w:before="40" w:after="100" w:line="360" w:lineRule="auto"/>
        <w:jc w:val="both"/>
      </w:pPr>
      <w:r>
        <w:rPr>
          <w:rFonts w:ascii="Calibri" w:hAnsi="Calibri"/>
          <w:b w:val="0"/>
          <w:i/>
          <w:sz w:val="20"/>
        </w:rPr>
        <w:t>Objetivo: Diagnóstico y evaluación formativa para la desarrollo adolescente, identidad y bienestar socioemocional en premedia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desarrollo adolescente, identidad y bienestar socioemocional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diagnóstico y evaluación formativa para la desarrollo adolescente, identidad y bienestar socioemocional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desarrollo adolescente, identidad y bienestar socioemocional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desarrollo adolescente, identidad y bienestar socioemocional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desarrollo adolescente, identidad y bienestar socioemocional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desarrollo adolescente, identidad y bienestar socioemocional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desarrollo adolescente, identidad y bienestar socioemocional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desarrollo adolescente, identidad y bienestar socioemocional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desarrollo adolescente, identidad y bienestar socioemocional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desarrollo adolescente, identidad y bienestar socioemocional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desarrollo adolescente, identidad y bienestar socioemocional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desarrollo adolescente, identidad y bienestar socioemocional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desarrollo adolescente, identidad y bienestar socioemocional en premedia</w:t>
      </w:r>
    </w:p>
    <w:p>
      <w:pPr>
        <w:spacing w:before="40" w:after="100" w:line="360" w:lineRule="auto"/>
        <w:jc w:val="both"/>
      </w:pPr>
      <w:r>
        <w:rPr>
          <w:rFonts w:ascii="Calibri" w:hAnsi="Calibri"/>
          <w:b w:val="0"/>
          <w:i/>
          <w:sz w:val="20"/>
        </w:rPr>
        <w:t>Objetivo: Estrategias pedagógicas de alta efectividad para desarrollo adolescente, identidad y bienestar socioemocional en premedia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desarrollo adolescente, identidad y bienestar socioemocional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estrategias pedagógicas de alta efectividad para desarrollo adolescente, identidad y bienestar socioemocional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desarrollo adolescente, identidad y bienestar socioemocional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desarrollo adolescente, identidad y bienestar socioemocional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desarrollo adolescente, identidad y bienestar socioemocional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desarrollo adolescente, identidad y bienestar socioemocional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desarrollo adolescente, identidad y bienestar socioemocional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desarrollo adolescente, identidad y bienestar socioemocional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desarrollo adolescente, identidad y bienestar socioemocional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desarrollo adolescente, identidad y bienestar socioemocional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desarrollo adolescente, identidad y bienestar socioemocional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desarrollo adolescente, identidad y bienestar socioemocional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PME-5: Proyecto integrador — plan de recuperación específico</w:t>
      </w:r>
    </w:p>
    <w:p>
      <w:pPr>
        <w:spacing w:before="40" w:after="100" w:line="360" w:lineRule="auto"/>
        <w:jc w:val="both"/>
      </w:pPr>
      <w:r>
        <w:rPr>
          <w:rFonts w:ascii="Calibri" w:hAnsi="Calibri"/>
          <w:b w:val="0"/>
          <w:i/>
          <w:sz w:val="20"/>
        </w:rPr>
        <w:t>Objetivo: PME-5: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pme-5: proyecto integrador — plan de recuperación específico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pme-5: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pme-5: proyecto integrador — plan de recuperación específico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pme-5: proyecto integrador — plan de recuperación específico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pme-5: proyecto integrador — plan de recuperación específico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pme-5: proyecto integrador — plan de recuperación específico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pme-5: proyecto integrador — plan de recuperación específico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pme-5: proyecto integrador — plan de recuperación específico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pme-5: proyecto integrador — plan de recuperación específico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pme-5: proyecto integrador — plan de recuperación específico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pme-5: proyecto integrador — plan de recuperación específico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pme-5: proyecto integrador — plan de recuperación específico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6914"/>
          <w:sz w:val="32"/>
        </w:rPr>
        <w:t>MÓDULO 6: Lectura Crítica, Escritura Argumentativa y Comunicación Oral en Premedia</w:t>
      </w:r>
    </w:p>
    <w:p>
      <w:pPr>
        <w:keepNext w:val="0"/>
        <w:spacing w:before="40" w:after="120"/>
        <w:jc w:val="left"/>
      </w:pPr>
      <w:r>
        <w:rPr>
          <w:rFonts w:ascii="Calibri" w:hAnsi="Calibri"/>
          <w:b w:val="0"/>
          <w:color w:val="5A6370"/>
          <w:sz w:val="22"/>
        </w:rPr>
        <w:t>(Módulo Específico — Premedia)</w:t>
      </w:r>
    </w:p>
    <w:p>
      <w:pPr>
        <w:pBdr>
          <w:bottom w:val="single" w:sz="4" w:space="1" w:color="8B6914"/>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6914"/>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Lectura Crítica, Escritura Argumentativa y Comunicación Oral en Premedia, con fundamento en la investigación sobre el desarrollo propio del nivel de Premedia y en las evidencias pedagógicas internacionales más relevantes para este campo.</w:t>
            </w:r>
          </w:p>
        </w:tc>
      </w:tr>
      <w:tr>
        <w:tc>
          <w:tcPr>
            <w:tcW w:type="dxa" w:w="2551"/>
            <w:shd w:val="clear" w:color="auto" w:fill="8B6914"/>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8B6914"/>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PME-6: Plan específico de recuperación para Lectura Crítica, Escritura Argumentativa y Comunicación Oral en Premedia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6:</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lectura crítica, escritura argumentativa y comunicación oral en premedia</w:t>
      </w:r>
    </w:p>
    <w:p>
      <w:pPr>
        <w:spacing w:before="40" w:after="100" w:line="360" w:lineRule="auto"/>
        <w:jc w:val="both"/>
      </w:pPr>
      <w:r>
        <w:rPr>
          <w:rFonts w:ascii="Calibri" w:hAnsi="Calibri"/>
          <w:b w:val="0"/>
          <w:i/>
          <w:sz w:val="20"/>
        </w:rPr>
        <w:t>Objetivo: Fundamentos teóricos y normativos de la lectura crítica, escritura argumentativa y comunicación oral en premedia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lectura crítica, escritura argumentativa y comunicación oral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fundamentos teóricos y normativos de la lectura crítica, escritura argumentativa y comunicación oral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lectura crítica, escritura argumentativa y comunicación oral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lectura crítica, escritura argumentativa y comunicación oral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lectura crítica, escritura argumentativa y comunicación oral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lectura crítica, escritura argumentativa y comunicación oral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lectura crítica, escritura argumentativa y comunicación oral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lectura crítica, escritura argumentativa y comunicación oral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lectura crítica, escritura argumentativa y comunicación oral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lectura crítica, escritura argumentativa y comunicación oral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lectura crítica, escritura argumentativa y comunicación oral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lectura crítica, escritura argumentativa y comunicación oral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lectura crítica, escritura argumentativa y comunicación oral en premedia</w:t>
      </w:r>
    </w:p>
    <w:p>
      <w:pPr>
        <w:spacing w:before="40" w:after="100" w:line="360" w:lineRule="auto"/>
        <w:jc w:val="both"/>
      </w:pPr>
      <w:r>
        <w:rPr>
          <w:rFonts w:ascii="Calibri" w:hAnsi="Calibri"/>
          <w:b w:val="0"/>
          <w:i/>
          <w:sz w:val="20"/>
        </w:rPr>
        <w:t>Objetivo: Diagnóstico y evaluación formativa para la lectura crítica, escritura argumentativa y comunicación oral en premedia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lectura crítica, escritura argumentativa y comunicación oral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diagnóstico y evaluación formativa para la lectura crítica, escritura argumentativa y comunicación oral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lectura crítica, escritura argumentativa y comunicación oral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lectura crítica, escritura argumentativa y comunicación oral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lectura crítica, escritura argumentativa y comunicación oral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lectura crítica, escritura argumentativa y comunicación oral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lectura crítica, escritura argumentativa y comunicación oral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lectura crítica, escritura argumentativa y comunicación oral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lectura crítica, escritura argumentativa y comunicación oral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lectura crítica, escritura argumentativa y comunicación oral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lectura crítica, escritura argumentativa y comunicación oral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lectura crítica, escritura argumentativa y comunicación oral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lectura crítica, escritura argumentativa y comunicación oral en premedia</w:t>
      </w:r>
    </w:p>
    <w:p>
      <w:pPr>
        <w:spacing w:before="40" w:after="100" w:line="360" w:lineRule="auto"/>
        <w:jc w:val="both"/>
      </w:pPr>
      <w:r>
        <w:rPr>
          <w:rFonts w:ascii="Calibri" w:hAnsi="Calibri"/>
          <w:b w:val="0"/>
          <w:i/>
          <w:sz w:val="20"/>
        </w:rPr>
        <w:t>Objetivo: Estrategias pedagógicas de alta efectividad para lectura crítica, escritura argumentativa y comunicación oral en premedia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lectura crítica, escritura argumentativa y comunicación oral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estrategias pedagógicas de alta efectividad para lectura crítica, escritura argumentativa y comunicación oral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lectura crítica, escritura argumentativa y comunicación oral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lectura crítica, escritura argumentativa y comunicación oral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lectura crítica, escritura argumentativa y comunicación oral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lectura crítica, escritura argumentativa y comunicación oral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lectura crítica, escritura argumentativa y comunicación oral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lectura crítica, escritura argumentativa y comunicación oral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lectura crítica, escritura argumentativa y comunicación oral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lectura crítica, escritura argumentativa y comunicación oral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lectura crítica, escritura argumentativa y comunicación oral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lectura crítica, escritura argumentativa y comunicación oral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PME-6: Proyecto integrador — plan de recuperación específico</w:t>
      </w:r>
    </w:p>
    <w:p>
      <w:pPr>
        <w:spacing w:before="40" w:after="100" w:line="360" w:lineRule="auto"/>
        <w:jc w:val="both"/>
      </w:pPr>
      <w:r>
        <w:rPr>
          <w:rFonts w:ascii="Calibri" w:hAnsi="Calibri"/>
          <w:b w:val="0"/>
          <w:i/>
          <w:sz w:val="20"/>
        </w:rPr>
        <w:t>Objetivo: PME-6: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pme-6: proyecto integrador — plan de recuperación específico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pme-6: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pme-6: proyecto integrador — plan de recuperación específico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pme-6: proyecto integrador — plan de recuperación específico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pme-6: proyecto integrador — plan de recuperación específico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pme-6: proyecto integrador — plan de recuperación específico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pme-6: proyecto integrador — plan de recuperación específico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pme-6: proyecto integrador — plan de recuperación específico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pme-6: proyecto integrador — plan de recuperación específico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pme-6: proyecto integrador — plan de recuperación específico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pme-6: proyecto integrador — plan de recuperación específico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pme-6: proyecto integrador — plan de recuperación específico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6914"/>
          <w:sz w:val="32"/>
        </w:rPr>
        <w:t>MÓDULO 7: Razonamiento Lógico-Matemático, Ciencias Básicas e Indagación en Premedia</w:t>
      </w:r>
    </w:p>
    <w:p>
      <w:pPr>
        <w:keepNext w:val="0"/>
        <w:spacing w:before="40" w:after="120"/>
        <w:jc w:val="left"/>
      </w:pPr>
      <w:r>
        <w:rPr>
          <w:rFonts w:ascii="Calibri" w:hAnsi="Calibri"/>
          <w:b w:val="0"/>
          <w:color w:val="5A6370"/>
          <w:sz w:val="22"/>
        </w:rPr>
        <w:t>(Módulo Específico — Premedia)</w:t>
      </w:r>
    </w:p>
    <w:p>
      <w:pPr>
        <w:pBdr>
          <w:bottom w:val="single" w:sz="4" w:space="1" w:color="8B6914"/>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6914"/>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Razonamiento Lógico-Matemático, Ciencias Básicas e Indagación en Premedia, con fundamento en la investigación sobre el desarrollo propio del nivel de Premedia y en las evidencias pedagógicas internacionales más relevantes para este campo.</w:t>
            </w:r>
          </w:p>
        </w:tc>
      </w:tr>
      <w:tr>
        <w:tc>
          <w:tcPr>
            <w:tcW w:type="dxa" w:w="2551"/>
            <w:shd w:val="clear" w:color="auto" w:fill="8B6914"/>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8B6914"/>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PME-7: Plan específico de recuperación para Razonamiento Lógico-Matemático, Ciencias Básicas e Indagación en Premedia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7:</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razonamiento lógico-matemático, ciencias básicas e indagación en premedia</w:t>
      </w:r>
    </w:p>
    <w:p>
      <w:pPr>
        <w:spacing w:before="40" w:after="100" w:line="360" w:lineRule="auto"/>
        <w:jc w:val="both"/>
      </w:pPr>
      <w:r>
        <w:rPr>
          <w:rFonts w:ascii="Calibri" w:hAnsi="Calibri"/>
          <w:b w:val="0"/>
          <w:i/>
          <w:sz w:val="20"/>
        </w:rPr>
        <w:t>Objetivo: Fundamentos teóricos y normativos de la razonamiento lógico-matemático, ciencias básicas e indagación en premedia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razonamiento lógico-matemático, ciencias básicas e indagación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fundamentos teóricos y normativos de la razonamiento lógico-matemático, ciencias básicas e indagación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razonamiento lógico-matemático, ciencias básicas e indagación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razonamiento lógico-matemático, ciencias básicas e indagación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razonamiento lógico-matemático, ciencias básicas e indagación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razonamiento lógico-matemático, ciencias básicas e indagación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razonamiento lógico-matemático, ciencias básicas e indagación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razonamiento lógico-matemático, ciencias básicas e indagación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razonamiento lógico-matemático, ciencias básicas e indagación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razonamiento lógico-matemático, ciencias básicas e indagación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razonamiento lógico-matemático, ciencias básicas e indagación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razonamiento lógico-matemático, ciencias básicas e indagación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razonamiento lógico-matemático, ciencias básicas e indagación en premedia</w:t>
      </w:r>
    </w:p>
    <w:p>
      <w:pPr>
        <w:spacing w:before="40" w:after="100" w:line="360" w:lineRule="auto"/>
        <w:jc w:val="both"/>
      </w:pPr>
      <w:r>
        <w:rPr>
          <w:rFonts w:ascii="Calibri" w:hAnsi="Calibri"/>
          <w:b w:val="0"/>
          <w:i/>
          <w:sz w:val="20"/>
        </w:rPr>
        <w:t>Objetivo: Diagnóstico y evaluación formativa para la razonamiento lógico-matemático, ciencias básicas e indagación en premedia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razonamiento lógico-matemático, ciencias básicas e indagación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diagnóstico y evaluación formativa para la razonamiento lógico-matemático, ciencias básicas e indagación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razonamiento lógico-matemático, ciencias básicas e indagación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razonamiento lógico-matemático, ciencias básicas e indagación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razonamiento lógico-matemático, ciencias básicas e indagación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razonamiento lógico-matemático, ciencias básicas e indagación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razonamiento lógico-matemático, ciencias básicas e indagación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razonamiento lógico-matemático, ciencias básicas e indagación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razonamiento lógico-matemático, ciencias básicas e indagación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razonamiento lógico-matemático, ciencias básicas e indagación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razonamiento lógico-matemático, ciencias básicas e indagación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razonamiento lógico-matemático, ciencias básicas e indagación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razonamiento lógico-matemático, ciencias básicas e indagación en premedia</w:t>
      </w:r>
    </w:p>
    <w:p>
      <w:pPr>
        <w:spacing w:before="40" w:after="100" w:line="360" w:lineRule="auto"/>
        <w:jc w:val="both"/>
      </w:pPr>
      <w:r>
        <w:rPr>
          <w:rFonts w:ascii="Calibri" w:hAnsi="Calibri"/>
          <w:b w:val="0"/>
          <w:i/>
          <w:sz w:val="20"/>
        </w:rPr>
        <w:t>Objetivo: Estrategias pedagógicas de alta efectividad para razonamiento lógico-matemático, ciencias básicas e indagación en premedia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razonamiento lógico-matemático, ciencias básicas e indagación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estrategias pedagógicas de alta efectividad para razonamiento lógico-matemático, ciencias básicas e indagación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razonamiento lógico-matemático, ciencias básicas e indagación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razonamiento lógico-matemático, ciencias básicas e indagación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razonamiento lógico-matemático, ciencias básicas e indagación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razonamiento lógico-matemático, ciencias básicas e indagación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razonamiento lógico-matemático, ciencias básicas e indagación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razonamiento lógico-matemático, ciencias básicas e indagación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razonamiento lógico-matemático, ciencias básicas e indagación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razonamiento lógico-matemático, ciencias básicas e indagación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razonamiento lógico-matemático, ciencias básicas e indagación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razonamiento lógico-matemático, ciencias básicas e indagación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PME-7: Proyecto integrador — plan de recuperación específico</w:t>
      </w:r>
    </w:p>
    <w:p>
      <w:pPr>
        <w:spacing w:before="40" w:after="100" w:line="360" w:lineRule="auto"/>
        <w:jc w:val="both"/>
      </w:pPr>
      <w:r>
        <w:rPr>
          <w:rFonts w:ascii="Calibri" w:hAnsi="Calibri"/>
          <w:b w:val="0"/>
          <w:i/>
          <w:sz w:val="20"/>
        </w:rPr>
        <w:t>Objetivo: PME-7: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pme-7: proyecto integrador — plan de recuperación específico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pme-7: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pme-7: proyecto integrador — plan de recuperación específico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pme-7: proyecto integrador — plan de recuperación específico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pme-7: proyecto integrador — plan de recuperación específico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pme-7: proyecto integrador — plan de recuperación específico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pme-7: proyecto integrador — plan de recuperación específico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pme-7: proyecto integrador — plan de recuperación específico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pme-7: proyecto integrador — plan de recuperación específico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pme-7: proyecto integrador — plan de recuperación específico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pme-7: proyecto integrador — plan de recuperación específico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pme-7: proyecto integrador — plan de recuperación específico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320" w:after="160"/>
        <w:jc w:val="left"/>
      </w:pPr>
      <w:r>
        <w:rPr>
          <w:rFonts w:ascii="Calibri" w:hAnsi="Calibri"/>
          <w:b/>
          <w:color w:val="8B6914"/>
          <w:sz w:val="32"/>
        </w:rPr>
        <w:t>MÓDULO 8: Orientación Vocacional, Ciudadanía Digital e Inclusión en Premedia</w:t>
      </w:r>
    </w:p>
    <w:p>
      <w:pPr>
        <w:keepNext w:val="0"/>
        <w:spacing w:before="40" w:after="120"/>
        <w:jc w:val="left"/>
      </w:pPr>
      <w:r>
        <w:rPr>
          <w:rFonts w:ascii="Calibri" w:hAnsi="Calibri"/>
          <w:b w:val="0"/>
          <w:color w:val="5A6370"/>
          <w:sz w:val="22"/>
        </w:rPr>
        <w:t>(Módulo Específico — Premedia)</w:t>
      </w:r>
    </w:p>
    <w:p>
      <w:pPr>
        <w:pBdr>
          <w:bottom w:val="single" w:sz="4" w:space="1" w:color="8B6914"/>
        </w:pBdr>
        <w:spacing w:before="40" w:after="40"/>
      </w:pPr>
    </w:p>
    <w:tbl>
      <w:tblPr>
        <w:tblStyle w:val="TableGrid"/>
        <w:tblW w:type="auto" w:w="0"/>
        <w:jc w:val="center"/>
        <w:tblLook w:firstColumn="1" w:firstRow="1" w:lastColumn="0" w:lastRow="0" w:noHBand="0" w:noVBand="1" w:val="04A0"/>
      </w:tblPr>
      <w:tblGrid>
        <w:gridCol w:w="4703"/>
        <w:gridCol w:w="4703"/>
      </w:tblGrid>
      <w:tr>
        <w:tc>
          <w:tcPr>
            <w:tcW w:type="dxa" w:w="2551"/>
            <w:shd w:val="clear" w:color="auto" w:fill="8B6914"/>
          </w:tcPr>
          <w:p>
            <w:pPr>
              <w:spacing w:before="60" w:after="60"/>
            </w:pPr>
            <w:r>
              <w:rPr>
                <w:rFonts w:ascii="Calibri" w:hAnsi="Calibri"/>
                <w:b/>
                <w:color w:val="FFFFFF"/>
                <w:sz w:val="19"/>
              </w:rPr>
              <w:t>Objetivo del módulo:</w:t>
            </w:r>
          </w:p>
        </w:tc>
        <w:tc>
          <w:tcPr>
            <w:tcW w:type="dxa" w:w="6803"/>
          </w:tcPr>
          <w:p>
            <w:pPr>
              <w:spacing w:before="60" w:after="60"/>
            </w:pPr>
            <w:r>
              <w:rPr>
                <w:rFonts w:ascii="Calibri" w:hAnsi="Calibri"/>
                <w:sz w:val="19"/>
              </w:rPr>
              <w:t>Al concluir el módulo, el participante diseñará e implementará intervenciones pedagógicas específicas orientadas a la recuperación de las competencias fundamentales de Orientación Vocacional, Ciudadanía Digital e Inclusión en Premedia, con fundamento en la investigación sobre el desarrollo propio del nivel de Premedia y en las evidencias pedagógicas internacionales más relevantes para este campo.</w:t>
            </w:r>
          </w:p>
        </w:tc>
      </w:tr>
      <w:tr>
        <w:tc>
          <w:tcPr>
            <w:tcW w:type="dxa" w:w="2551"/>
            <w:shd w:val="clear" w:color="auto" w:fill="8B6914"/>
          </w:tcPr>
          <w:p>
            <w:pPr>
              <w:spacing w:before="60" w:after="60"/>
            </w:pPr>
            <w:r>
              <w:rPr>
                <w:rFonts w:ascii="Calibri" w:hAnsi="Calibri"/>
                <w:b/>
                <w:color w:val="FFFFFF"/>
                <w:sz w:val="19"/>
              </w:rPr>
              <w:t>Horas académicas:</w:t>
            </w:r>
          </w:p>
        </w:tc>
        <w:tc>
          <w:tcPr>
            <w:tcW w:type="dxa" w:w="6803"/>
          </w:tcPr>
          <w:p>
            <w:pPr>
              <w:spacing w:before="60" w:after="60"/>
            </w:pPr>
            <w:r>
              <w:rPr>
                <w:rFonts w:ascii="Calibri" w:hAnsi="Calibri"/>
                <w:sz w:val="19"/>
              </w:rPr>
              <w:t>27 horas</w:t>
            </w:r>
          </w:p>
        </w:tc>
      </w:tr>
      <w:tr>
        <w:tc>
          <w:tcPr>
            <w:tcW w:type="dxa" w:w="2551"/>
            <w:shd w:val="clear" w:color="auto" w:fill="8B6914"/>
          </w:tcPr>
          <w:p>
            <w:pPr>
              <w:spacing w:before="60" w:after="60"/>
            </w:pPr>
            <w:r>
              <w:rPr>
                <w:rFonts w:ascii="Calibri" w:hAnsi="Calibri"/>
                <w:b/>
                <w:color w:val="FFFFFF"/>
                <w:sz w:val="19"/>
              </w:rPr>
              <w:t>Entregable integrador (PME):</w:t>
            </w:r>
          </w:p>
        </w:tc>
        <w:tc>
          <w:tcPr>
            <w:tcW w:type="dxa" w:w="6803"/>
          </w:tcPr>
          <w:p>
            <w:pPr>
              <w:spacing w:before="60" w:after="60"/>
            </w:pPr>
            <w:r>
              <w:rPr>
                <w:rFonts w:ascii="Calibri" w:hAnsi="Calibri"/>
                <w:sz w:val="19"/>
              </w:rPr>
              <w:t>PME-8: Plan específico de recuperación para Orientación Vocacional, Ciudadanía Digital e Inclusión en Premedia aplicado al grupo de estudiantes del participante, incluyendo diagnóstico específico del nivel, objetivos SMART, secuencias didácticas, instrumentos de evaluación y propuesta de articulación familiar.</w:t>
            </w:r>
          </w:p>
        </w:tc>
      </w:tr>
    </w:tbl>
    <w:p/>
    <w:p>
      <w:pPr>
        <w:keepNext w:val="0"/>
        <w:spacing w:before="160" w:after="60"/>
        <w:jc w:val="left"/>
      </w:pPr>
      <w:r>
        <w:rPr>
          <w:rFonts w:ascii="Calibri" w:hAnsi="Calibri"/>
          <w:b w:val="0"/>
          <w:color w:val="5A6370"/>
          <w:sz w:val="22"/>
        </w:rPr>
        <w:t>Fuentes de Referencia — Módulo 8:</w:t>
      </w:r>
    </w:p>
    <w:p>
      <w:pPr>
        <w:spacing w:before="20" w:after="20" w:line="360" w:lineRule="auto"/>
        <w:ind w:left="283"/>
        <w:jc w:val="both"/>
      </w:pPr>
      <w:r>
        <w:rPr>
          <w:rFonts w:ascii="Calibri" w:hAnsi="Calibri"/>
          <w:b w:val="0"/>
          <w:i w:val="0"/>
          <w:color w:val="5A6370"/>
          <w:sz w:val="18"/>
        </w:rPr>
        <w:t>○  MEDUCA (2024). Resolución 897 — Plan de Recuperación 2024-2026.</w:t>
      </w:r>
    </w:p>
    <w:p>
      <w:pPr>
        <w:spacing w:before="20" w:after="20" w:line="360" w:lineRule="auto"/>
        <w:ind w:left="283"/>
        <w:jc w:val="both"/>
      </w:pPr>
      <w:r>
        <w:rPr>
          <w:rFonts w:ascii="Calibri" w:hAnsi="Calibri"/>
          <w:b w:val="0"/>
          <w:i w:val="0"/>
          <w:color w:val="5A6370"/>
          <w:sz w:val="18"/>
        </w:rPr>
        <w:t>○  UNESCO-OREALC (2021). ERCE 2019 — Resultados en Panamá.</w:t>
      </w:r>
    </w:p>
    <w:p>
      <w:pPr>
        <w:spacing w:before="20" w:after="20" w:line="360" w:lineRule="auto"/>
        <w:ind w:left="283"/>
        <w:jc w:val="both"/>
      </w:pPr>
      <w:r>
        <w:rPr>
          <w:rFonts w:ascii="Calibri" w:hAnsi="Calibri"/>
          <w:b w:val="0"/>
          <w:i w:val="0"/>
          <w:color w:val="5A6370"/>
          <w:sz w:val="18"/>
        </w:rPr>
        <w:t>○  UNICEF Panamá (2023). Impacto Psicosocial de la Pandemia en la Niñez Panameña.</w:t>
      </w:r>
    </w:p>
    <w:p>
      <w:pPr>
        <w:spacing w:before="20" w:after="20" w:line="360" w:lineRule="auto"/>
        <w:ind w:left="283"/>
        <w:jc w:val="both"/>
      </w:pPr>
      <w:r>
        <w:rPr>
          <w:rFonts w:ascii="Calibri" w:hAnsi="Calibri"/>
          <w:b w:val="0"/>
          <w:i w:val="0"/>
          <w:color w:val="5A6370"/>
          <w:sz w:val="18"/>
        </w:rPr>
        <w:t>○  Save the Children/Banco Mundial (2021). Accelerating Learning Recovery.</w:t>
      </w:r>
    </w:p>
    <w:p>
      <w:pPr>
        <w:spacing w:before="20" w:after="20" w:line="360" w:lineRule="auto"/>
        <w:ind w:left="283"/>
        <w:jc w:val="both"/>
      </w:pPr>
      <w:r>
        <w:rPr>
          <w:rFonts w:ascii="Calibri" w:hAnsi="Calibri"/>
          <w:b w:val="0"/>
          <w:i w:val="0"/>
          <w:color w:val="5A6370"/>
          <w:sz w:val="18"/>
        </w:rPr>
        <w:t>○  EEF (2023). Teaching and Learning Toolkit. London: EEF.</w:t>
      </w:r>
    </w:p>
    <w:p>
      <w:pPr>
        <w:spacing w:before="20" w:after="20" w:line="360" w:lineRule="auto"/>
        <w:ind w:left="283"/>
        <w:jc w:val="both"/>
      </w:pPr>
      <w:r>
        <w:rPr>
          <w:rFonts w:ascii="Calibri" w:hAnsi="Calibri"/>
          <w:b w:val="0"/>
          <w:i w:val="0"/>
          <w:color w:val="5A6370"/>
          <w:sz w:val="18"/>
        </w:rPr>
        <w:t>○  Hattie, J. (2023). Visible Learning: The Sequel. London: Routledge.</w:t>
      </w:r>
    </w:p>
    <w:p>
      <w:pPr>
        <w:spacing w:before="20" w:after="20" w:line="360" w:lineRule="auto"/>
        <w:ind w:left="283"/>
        <w:jc w:val="both"/>
      </w:pPr>
      <w:r>
        <w:rPr>
          <w:rFonts w:ascii="Calibri" w:hAnsi="Calibri"/>
          <w:b w:val="0"/>
          <w:i w:val="0"/>
          <w:color w:val="5A6370"/>
          <w:sz w:val="18"/>
        </w:rPr>
        <w:t>○  Anderson &amp; Krathwohl (2001). A Taxonomy for Learning. New York: Longman.</w:t>
      </w:r>
    </w:p>
    <w:p>
      <w:pPr>
        <w:spacing w:before="20" w:after="20" w:line="360" w:lineRule="auto"/>
        <w:ind w:left="283"/>
        <w:jc w:val="both"/>
      </w:pPr>
      <w:r>
        <w:rPr>
          <w:rFonts w:ascii="Calibri" w:hAnsi="Calibri"/>
          <w:b w:val="0"/>
          <w:i w:val="0"/>
          <w:color w:val="5A6370"/>
          <w:sz w:val="18"/>
        </w:rPr>
        <w:t>○  CAST (2018). Universal Design for Learning Guidelines 2.2.</w:t>
      </w:r>
    </w:p>
    <w:p>
      <w:pPr>
        <w:spacing w:before="20" w:after="20" w:line="360" w:lineRule="auto"/>
        <w:ind w:left="283"/>
        <w:jc w:val="both"/>
      </w:pPr>
      <w:r>
        <w:rPr>
          <w:rFonts w:ascii="Calibri" w:hAnsi="Calibri"/>
          <w:b w:val="0"/>
          <w:i w:val="0"/>
          <w:color w:val="5A6370"/>
          <w:sz w:val="18"/>
        </w:rPr>
        <w:t>○  Black &amp; Wiliam (2018). Classroom Assessment. European Journal of Education.</w:t>
      </w:r>
    </w:p>
    <w:p>
      <w:pPr>
        <w:spacing w:before="20" w:after="20" w:line="360" w:lineRule="auto"/>
        <w:ind w:left="283"/>
        <w:jc w:val="both"/>
      </w:pPr>
      <w:r>
        <w:rPr>
          <w:rFonts w:ascii="Calibri" w:hAnsi="Calibri"/>
          <w:b w:val="0"/>
          <w:i w:val="0"/>
          <w:color w:val="5A6370"/>
          <w:sz w:val="18"/>
        </w:rPr>
        <w:t>○  Tomlinson, C.A. (2017). How to Differentiate Instruction. ASCD.</w:t>
      </w:r>
    </w:p>
    <w:p/>
    <w:p>
      <w:pPr>
        <w:keepNext/>
        <w:spacing w:before="240" w:after="100"/>
        <w:jc w:val="left"/>
      </w:pPr>
      <w:r>
        <w:rPr>
          <w:rFonts w:ascii="Calibri" w:hAnsi="Calibri"/>
          <w:b/>
          <w:color w:val="12265B"/>
          <w:sz w:val="26"/>
        </w:rPr>
        <w:t>Unidad 1: Fundamentos teóricos y normativos de la orientación vocacional, ciudadanía digital e inclusión en premedia</w:t>
      </w:r>
    </w:p>
    <w:p>
      <w:pPr>
        <w:spacing w:before="40" w:after="100" w:line="360" w:lineRule="auto"/>
        <w:jc w:val="both"/>
      </w:pPr>
      <w:r>
        <w:rPr>
          <w:rFonts w:ascii="Calibri" w:hAnsi="Calibri"/>
          <w:b w:val="0"/>
          <w:i/>
          <w:sz w:val="20"/>
        </w:rPr>
        <w:t>Objetivo: Fundamentos teóricos y normativos de la orientación vocacional, ciudadanía digital e inclusión en premedia — Bloom: Recordar / Comprender</w:t>
      </w:r>
    </w:p>
    <w:p>
      <w:pPr>
        <w:pBdr>
          <w:bottom w:val="single" w:sz="2" w:space="1" w:color="888888"/>
        </w:pBdr>
        <w:spacing w:before="40" w:after="40"/>
      </w:pPr>
    </w:p>
    <w:p>
      <w:pPr>
        <w:spacing w:before="60" w:after="80" w:line="360" w:lineRule="auto"/>
        <w:jc w:val="both"/>
      </w:pPr>
      <w:r>
        <w:rPr>
          <w:rFonts w:ascii="Calibri" w:hAnsi="Calibri"/>
          <w:b w:val="0"/>
          <w:i w:val="0"/>
          <w:sz w:val="21"/>
        </w:rPr>
        <w:t>La fundamentos teóricos y normativos de la orientación vocacional, ciudadanía digital e inclusión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fundamentos teóricos y normativos de la orientación vocacional, ciudadanía digital e inclusión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fundamentos teóricos y normativos de la orientación vocacional, ciudadanía digital e inclusión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fundamentos teóricos y normativos de la orientación vocacional, ciudadanía digital e inclusión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fundamentos teóricos y normativos de la orientación vocacional, ciudadanía digital e inclusión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fundamentos teóricos y normativos de la orientación vocacional, ciudadanía digital e inclusión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fundamentos teóricos y normativos de la orientación vocacional, ciudadanía digital e inclusión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fundamentos teóricos y normativos de la orientación vocacional, ciudadanía digital e inclusión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fundamentos teóricos y normativos de la orientación vocacional, ciudadanía digital e inclusión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fundamentos teóricos y normativos de la orientación vocacional, ciudadanía digital e inclusión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fundamentos teóricos y normativos de la orientación vocacional, ciudadanía digital e inclusión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fundamentos teóricos y normativos de la orientación vocacional, ciudadanía digital e inclusión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2: Diagnóstico y evaluación formativa para la orientación vocacional, ciudadanía digital e inclusión en premedia</w:t>
      </w:r>
    </w:p>
    <w:p>
      <w:pPr>
        <w:spacing w:before="40" w:after="100" w:line="360" w:lineRule="auto"/>
        <w:jc w:val="both"/>
      </w:pPr>
      <w:r>
        <w:rPr>
          <w:rFonts w:ascii="Calibri" w:hAnsi="Calibri"/>
          <w:b w:val="0"/>
          <w:i/>
          <w:sz w:val="20"/>
        </w:rPr>
        <w:t>Objetivo: Diagnóstico y evaluación formativa para la orientación vocacional, ciudadanía digital e inclusión en premedia — Bloom: Comprender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diagnóstico y evaluación formativa para la orientación vocacional, ciudadanía digital e inclusión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diagnóstico y evaluación formativa para la orientación vocacional, ciudadanía digital e inclusión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diagnóstico y evaluación formativa para la orientación vocacional, ciudadanía digital e inclusión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diagnóstico y evaluación formativa para la orientación vocacional, ciudadanía digital e inclusión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diagnóstico y evaluación formativa para la orientación vocacional, ciudadanía digital e inclusión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diagnóstico y evaluación formativa para la orientación vocacional, ciudadanía digital e inclusión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diagnóstico y evaluación formativa para la orientación vocacional, ciudadanía digital e inclusión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diagnóstico y evaluación formativa para la orientación vocacional, ciudadanía digital e inclusión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diagnóstico y evaluación formativa para la orientación vocacional, ciudadanía digital e inclusión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diagnóstico y evaluación formativa para la orientación vocacional, ciudadanía digital e inclusión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diagnóstico y evaluación formativa para la orientación vocacional, ciudadanía digital e inclusión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diagnóstico y evaluación formativa para la orientación vocacional, ciudadanía digital e inclusión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3: Estrategias pedagógicas de alta efectividad para orientación vocacional, ciudadanía digital e inclusión en premedia</w:t>
      </w:r>
    </w:p>
    <w:p>
      <w:pPr>
        <w:spacing w:before="40" w:after="100" w:line="360" w:lineRule="auto"/>
        <w:jc w:val="both"/>
      </w:pPr>
      <w:r>
        <w:rPr>
          <w:rFonts w:ascii="Calibri" w:hAnsi="Calibri"/>
          <w:b w:val="0"/>
          <w:i/>
          <w:sz w:val="20"/>
        </w:rPr>
        <w:t>Objetivo: Estrategias pedagógicas de alta efectividad para orientación vocacional, ciudadanía digital e inclusión en premedia — Bloom: Aplicar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estrategias pedagógicas de alta efectividad para orientación vocacional, ciudadanía digital e inclusión en premedia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estrategias pedagógicas de alta efectividad para orientación vocacional, ciudadanía digital e inclusión en premedia.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estrategias pedagógicas de alta efectividad para orientación vocacional, ciudadanía digital e inclusión en premedia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estrategias pedagógicas de alta efectividad para orientación vocacional, ciudadanía digital e inclusión en premedia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estrategias pedagógicas de alta efectividad para orientación vocacional, ciudadanía digital e inclusión en premedia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estrategias pedagógicas de alta efectividad para orientación vocacional, ciudadanía digital e inclusión en premedia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estrategias pedagógicas de alta efectividad para orientación vocacional, ciudadanía digital e inclusión en premedia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estrategias pedagógicas de alta efectividad para orientación vocacional, ciudadanía digital e inclusión en premedia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estrategias pedagógicas de alta efectividad para orientación vocacional, ciudadanía digital e inclusión en premedia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estrategias pedagógicas de alta efectividad para orientación vocacional, ciudadanía digital e inclusión en premedia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estrategias pedagógicas de alta efectividad para orientación vocacional, ciudadanía digital e inclusión en premedia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estrategias pedagógicas de alta efectividad para orientación vocacional, ciudadanía digital e inclusión en premedia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4: Diseño de secuencias didácticas y materiales de recuperación</w:t>
      </w:r>
    </w:p>
    <w:p>
      <w:pPr>
        <w:spacing w:before="40" w:after="100" w:line="360" w:lineRule="auto"/>
        <w:jc w:val="both"/>
      </w:pPr>
      <w:r>
        <w:rPr>
          <w:rFonts w:ascii="Calibri" w:hAnsi="Calibri"/>
          <w:b w:val="0"/>
          <w:i/>
          <w:sz w:val="20"/>
        </w:rPr>
        <w:t>Objetivo: Diseño de secuencias didácticas y materiales de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diseño de secuencias didácticas y materiales de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diseño de secuencias didácticas y materiales de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diseño de secuencias didácticas y materiales de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diseño de secuencias didácticas y materiales de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diseño de secuencias didácticas y materiales de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diseño de secuencias didácticas y materiales de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diseño de secuencias didácticas y materiales de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diseño de secuencias didácticas y materiales de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diseño de secuencias didácticas y materiales de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diseño de secuencias didácticas y materiales de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diseño de secuencias didácticas y materiales de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diseño de secuencias didácticas y materiales de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5: Recursos tecnológicos y digitales para la recuperación</w:t>
      </w:r>
    </w:p>
    <w:p>
      <w:pPr>
        <w:spacing w:before="40" w:after="100" w:line="360" w:lineRule="auto"/>
        <w:jc w:val="both"/>
      </w:pPr>
      <w:r>
        <w:rPr>
          <w:rFonts w:ascii="Calibri" w:hAnsi="Calibri"/>
          <w:b w:val="0"/>
          <w:i/>
          <w:sz w:val="20"/>
        </w:rPr>
        <w:t>Objetivo: Recursos tecnológicos y digitales para la recuperación — Bloom: Evaluar / Aplicar</w:t>
      </w:r>
    </w:p>
    <w:p>
      <w:pPr>
        <w:pBdr>
          <w:bottom w:val="single" w:sz="2" w:space="1" w:color="888888"/>
        </w:pBdr>
        <w:spacing w:before="40" w:after="40"/>
      </w:pPr>
    </w:p>
    <w:p>
      <w:pPr>
        <w:spacing w:before="60" w:after="80" w:line="360" w:lineRule="auto"/>
        <w:jc w:val="both"/>
      </w:pPr>
      <w:r>
        <w:rPr>
          <w:rFonts w:ascii="Calibri" w:hAnsi="Calibri"/>
          <w:b w:val="0"/>
          <w:i w:val="0"/>
          <w:sz w:val="21"/>
        </w:rPr>
        <w:t>La recursos tecnológicos y digitales para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recursos tecnológicos y digitales para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recursos tecnológicos y digitales para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recursos tecnológicos y digitales para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recursos tecnológicos y digitales para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recursos tecnológicos y digitales para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recursos tecnológicos y digitales para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recursos tecnológicos y digitales para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recursos tecnológicos y digitales para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recursos tecnológicos y digitales para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recursos tecnológicos y digitales para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recursos tecnológicos y digitales para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6: Evaluación diferenciada y retroalimentación en recuperación</w:t>
      </w:r>
    </w:p>
    <w:p>
      <w:pPr>
        <w:spacing w:before="40" w:after="100" w:line="360" w:lineRule="auto"/>
        <w:jc w:val="both"/>
      </w:pPr>
      <w:r>
        <w:rPr>
          <w:rFonts w:ascii="Calibri" w:hAnsi="Calibri"/>
          <w:b w:val="0"/>
          <w:i/>
          <w:sz w:val="20"/>
        </w:rPr>
        <w:t>Objetivo: Evaluación diferenciada y retroalimentación en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evaluación diferenciada y retroalimentación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evaluación diferenciada y retroalimentación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evaluación diferenciada y retroalimentación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evaluación diferenciada y retroalimentación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evaluación diferenciada y retroalimentación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evaluación diferenciada y retroalimentación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evaluación diferenciada y retroalimentación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evaluación diferenciada y retroalimentación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evaluación diferenciada y retroalimentación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evaluación diferenciada y retroalimentación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evaluación diferenciada y retroalimentación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evaluación diferenciada y retroalimentación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7: Articulación familia-escuela-comunidad en la recuperación</w:t>
      </w:r>
    </w:p>
    <w:p>
      <w:pPr>
        <w:spacing w:before="40" w:after="100" w:line="360" w:lineRule="auto"/>
        <w:jc w:val="both"/>
      </w:pPr>
      <w:r>
        <w:rPr>
          <w:rFonts w:ascii="Calibri" w:hAnsi="Calibri"/>
          <w:b w:val="0"/>
          <w:i/>
          <w:sz w:val="20"/>
        </w:rPr>
        <w:t>Objetivo: Articulación familia-escuela-comunidad en la recuperación — Bloom: Aplicar / Crear</w:t>
      </w:r>
    </w:p>
    <w:p>
      <w:pPr>
        <w:pBdr>
          <w:bottom w:val="single" w:sz="2" w:space="1" w:color="888888"/>
        </w:pBdr>
        <w:spacing w:before="40" w:after="40"/>
      </w:pPr>
    </w:p>
    <w:p>
      <w:pPr>
        <w:spacing w:before="60" w:after="80" w:line="360" w:lineRule="auto"/>
        <w:jc w:val="both"/>
      </w:pPr>
      <w:r>
        <w:rPr>
          <w:rFonts w:ascii="Calibri" w:hAnsi="Calibri"/>
          <w:b w:val="0"/>
          <w:i w:val="0"/>
          <w:sz w:val="21"/>
        </w:rPr>
        <w:t>La articulación familia-escuela-comunidad en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articulación familia-escuela-comunidad en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articulación familia-escuela-comunidad en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articulación familia-escuela-comunidad en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articulación familia-escuela-comunidad en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articulación familia-escuela-comunidad en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articulación familia-escuela-comunidad en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articulación familia-escuela-comunidad en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articulación familia-escuela-comunidad en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articulación familia-escuela-comunidad en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articulación familia-escuela-comunidad en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articulación familia-escuela-comunidad en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8: Inclusión educativa y atención a la diversidad en recuperación</w:t>
      </w:r>
    </w:p>
    <w:p>
      <w:pPr>
        <w:spacing w:before="40" w:after="100" w:line="360" w:lineRule="auto"/>
        <w:jc w:val="both"/>
      </w:pPr>
      <w:r>
        <w:rPr>
          <w:rFonts w:ascii="Calibri" w:hAnsi="Calibri"/>
          <w:b w:val="0"/>
          <w:i/>
          <w:sz w:val="20"/>
        </w:rPr>
        <w:t>Objetivo: Inclusión educativa y atención a la diversidad en recuperación — Bloom: Analizar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inclusión educativa y atención a la diversidad en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inclusión educativa y atención a la diversidad en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inclusión educativa y atención a la diversidad en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inclusión educativa y atención a la diversidad en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inclusión educativa y atención a la diversidad en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inclusión educativa y atención a la diversidad en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inclusión educativa y atención a la diversidad en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inclusión educativa y atención a la diversidad en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inclusión educativa y atención a la diversidad en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inclusión educativa y atención a la diversidad en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inclusión educativa y atención a la diversidad en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inclusión educativa y atención a la diversidad en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9: Investigación-acción aplicada a la mejora de la recuperación</w:t>
      </w:r>
    </w:p>
    <w:p>
      <w:pPr>
        <w:spacing w:before="40" w:after="100" w:line="360" w:lineRule="auto"/>
        <w:jc w:val="both"/>
      </w:pPr>
      <w:r>
        <w:rPr>
          <w:rFonts w:ascii="Calibri" w:hAnsi="Calibri"/>
          <w:b w:val="0"/>
          <w:i/>
          <w:sz w:val="20"/>
        </w:rPr>
        <w:t>Objetivo: Investigación-acción aplicada a la mejora de la recuperación — Bloom: Crear / Analizar</w:t>
      </w:r>
    </w:p>
    <w:p>
      <w:pPr>
        <w:pBdr>
          <w:bottom w:val="single" w:sz="2" w:space="1" w:color="888888"/>
        </w:pBdr>
        <w:spacing w:before="40" w:after="40"/>
      </w:pPr>
    </w:p>
    <w:p>
      <w:pPr>
        <w:spacing w:before="60" w:after="80" w:line="360" w:lineRule="auto"/>
        <w:jc w:val="both"/>
      </w:pPr>
      <w:r>
        <w:rPr>
          <w:rFonts w:ascii="Calibri" w:hAnsi="Calibri"/>
          <w:b w:val="0"/>
          <w:i w:val="0"/>
          <w:sz w:val="21"/>
        </w:rPr>
        <w:t>La investigación-acción aplicada a la mejora de la recuperación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investigación-acción aplicada a la mejora de la recuperación.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investigación-acción aplicada a la mejora de la recuperación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investigación-acción aplicada a la mejora de la recuperación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investigación-acción aplicada a la mejora de la recuperación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investigación-acción aplicada a la mejora de la recuperación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investigación-acción aplicada a la mejora de la recuperación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investigación-acción aplicada a la mejora de la recuperación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investigación-acción aplicada a la mejora de la recuperación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investigación-acción aplicada a la mejora de la recuperación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investigación-acción aplicada a la mejora de la recuperación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investigación-acción aplicada a la mejora de la recuperación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pPr>
        <w:keepNext/>
        <w:spacing w:before="240" w:after="100"/>
        <w:jc w:val="left"/>
      </w:pPr>
      <w:r>
        <w:rPr>
          <w:rFonts w:ascii="Calibri" w:hAnsi="Calibri"/>
          <w:b/>
          <w:color w:val="12265B"/>
          <w:sz w:val="26"/>
        </w:rPr>
        <w:t>Unidad 10: PME-8: Proyecto integrador — plan de recuperación específico</w:t>
      </w:r>
    </w:p>
    <w:p>
      <w:pPr>
        <w:spacing w:before="40" w:after="100" w:line="360" w:lineRule="auto"/>
        <w:jc w:val="both"/>
      </w:pPr>
      <w:r>
        <w:rPr>
          <w:rFonts w:ascii="Calibri" w:hAnsi="Calibri"/>
          <w:b w:val="0"/>
          <w:i/>
          <w:sz w:val="20"/>
        </w:rPr>
        <w:t>Objetivo: PME-8: Proyecto integrador — plan de recuperación específico — Bloom: Crear / Evaluar</w:t>
      </w:r>
    </w:p>
    <w:p>
      <w:pPr>
        <w:pBdr>
          <w:bottom w:val="single" w:sz="2" w:space="1" w:color="888888"/>
        </w:pBdr>
        <w:spacing w:before="40" w:after="40"/>
      </w:pPr>
    </w:p>
    <w:p>
      <w:pPr>
        <w:spacing w:before="60" w:after="80" w:line="360" w:lineRule="auto"/>
        <w:jc w:val="both"/>
      </w:pPr>
      <w:r>
        <w:rPr>
          <w:rFonts w:ascii="Calibri" w:hAnsi="Calibri"/>
          <w:b w:val="0"/>
          <w:i w:val="0"/>
          <w:sz w:val="21"/>
        </w:rPr>
        <w:t>La pme-8: proyecto integrador — plan de recuperación específico constituye una dimensión esencial de la recuperación de aprendizajes en el nivel de Premedia, especialmente relevante en el contexto post-pandémico panameño. La investigación educativa internacional (Hattie, 2023; EEF, 2023; UNESCO, 2022) demuestra que los programas de recuperación que abordan esta dimensión con rigor pedagógico producen efectos de aprendizaje significativamente superiores a los que la ignoran o la tratan de manera superficial. El Plan Estratégico de Educación 2022-2026 de Panamá (BID/CEPAL) reconoce explícitamente esta dimensión como prioritaria en la formación docente para la recuperación.</w:t>
      </w:r>
    </w:p>
    <w:p>
      <w:pPr>
        <w:spacing w:before="60" w:after="80" w:line="360" w:lineRule="auto"/>
        <w:jc w:val="both"/>
      </w:pPr>
      <w:r>
        <w:rPr>
          <w:rFonts w:ascii="Calibri" w:hAnsi="Calibri"/>
          <w:b w:val="0"/>
          <w:i w:val="0"/>
          <w:sz w:val="21"/>
        </w:rPr>
        <w:t>El contexto educativo panameño de recuperación en el nivel de Premedia exige que los docentes desarrollen competencias específicas relacionadas con pme-8: proyecto integrador — plan de recuperación específico. Los datos del SIEC de MEDUCA (2025) confirman que las brechas de aprendizaje en esta área son significativas en todos los niveles del sistema educativo oficial panameño, con mayor concentración en las regiones educativas con menor acceso a recursos pedagógicos especializados y a formación docente continua de calidad.</w:t>
      </w:r>
    </w:p>
    <w:p>
      <w:pPr>
        <w:spacing w:before="60" w:after="80" w:line="360" w:lineRule="auto"/>
        <w:jc w:val="both"/>
      </w:pPr>
      <w:r>
        <w:rPr>
          <w:rFonts w:ascii="Calibri" w:hAnsi="Calibri"/>
          <w:b w:val="0"/>
          <w:i w:val="0"/>
          <w:sz w:val="21"/>
        </w:rPr>
        <w:t>Las bases teóricas de la pme-8: proyecto integrador — plan de recuperación específico en el nivel de Premedia se sustentan en los aportes de la psicología del desarrollo cognitivo (Vygotsky, 1978; Piaget, 1952), la neurociencia educativa (Sousa &amp; Tomlinson, 2018) y la pedagogía crítica (Freire, 1970; Gay, 2018). Estos marcos señalan que los estudiantes de 12 a 15 años tienen características de desarrollo específicas que determinan el tipo de experiencias de aprendizaje más efectivas para la recuperación de competencias fundamentales en esta etapa.</w:t>
      </w:r>
    </w:p>
    <w:p>
      <w:pPr>
        <w:spacing w:before="60" w:after="80" w:line="360" w:lineRule="auto"/>
        <w:jc w:val="both"/>
      </w:pPr>
      <w:r>
        <w:rPr>
          <w:rFonts w:ascii="Calibri" w:hAnsi="Calibri"/>
          <w:b w:val="0"/>
          <w:i w:val="0"/>
          <w:sz w:val="21"/>
        </w:rPr>
        <w:t>El diagnóstico preciso de las brechas relacionadas con pme-8: proyecto integrador — plan de recuperación específico en el nivel de Premedia es el punto de partida metodológico de cualquier intervención efectiva. Los instrumentos de diagnóstico específicos para esta dimensión deben ser apropiados para las características del desarrollo cognitivo, lingüístico y socioemocional de los estudiantes de 12 a 15 años, y deben proporcionar al docente información cualitativa sobre los procesos de pensamiento del estudiante — no solo sobre la corrección o incorreción de sus respuestas.</w:t>
      </w:r>
    </w:p>
    <w:p>
      <w:pPr>
        <w:spacing w:before="60" w:after="80" w:line="360" w:lineRule="auto"/>
        <w:jc w:val="both"/>
      </w:pPr>
      <w:r>
        <w:rPr>
          <w:rFonts w:ascii="Calibri" w:hAnsi="Calibri"/>
          <w:b w:val="0"/>
          <w:i w:val="0"/>
          <w:sz w:val="21"/>
        </w:rPr>
        <w:t>Las estrategias pedagógicas de mayor efectividad comprobada para la recuperación relacionada con pme-8: proyecto integrador — plan de recuperación específico en el nivel de Premedia han sido identificadas por la investigación educativa internacional y son coherentes con el marco pedagógico del sistema educativo panameño. La Education Endowment Foundation (EEF, 2023) y Hattie (2023) señalan como estrategias de alto impacto para este nivel educativo: la retroalimentación formativa específica y oportuna (+8 meses de aprendizaje adicional), el aprendizaje metacognitivo (+7 meses) y las tutorías de pequeño grupo (+5 meses).</w:t>
      </w:r>
    </w:p>
    <w:p>
      <w:pPr>
        <w:spacing w:before="60" w:after="80" w:line="360" w:lineRule="auto"/>
        <w:jc w:val="both"/>
      </w:pPr>
      <w:r>
        <w:rPr>
          <w:rFonts w:ascii="Calibri" w:hAnsi="Calibri"/>
          <w:b w:val="0"/>
          <w:i w:val="0"/>
          <w:sz w:val="21"/>
        </w:rPr>
        <w:t>El diseño de secuencias didácticas de recuperación relacionadas con pme-8: proyecto integrador — plan de recuperación específico en el nivel de Premedia debe aplicar los principios del Diseño Universal para el Aprendizaje (DUA, CAST 2018): ofrecer múltiples medios de representación, múltiples medios de expresión del aprendizaje y múltiples medios de motivación y compromiso. Este enfoque garantiza que las intervenciones sean accesibles y efectivas para la diversidad de estudiantes presente en el aula panameña, incluyendo los que tienen necesidades educativas especiales y los que son bilingües emergentes.</w:t>
      </w:r>
    </w:p>
    <w:p>
      <w:pPr>
        <w:spacing w:before="60" w:after="80" w:line="360" w:lineRule="auto"/>
        <w:jc w:val="both"/>
      </w:pPr>
      <w:r>
        <w:rPr>
          <w:rFonts w:ascii="Calibri" w:hAnsi="Calibri"/>
          <w:b w:val="0"/>
          <w:i w:val="0"/>
          <w:sz w:val="21"/>
        </w:rPr>
        <w:t>Los recursos materiales y tecnológicos disponibles para la recuperación relacionada con pme-8: proyecto integrador — plan de recuperación específico en el nivel de Premedia incluyen tanto materiales pedagógicos de bajo costo y alta efectividad como recursos digitales abiertos y gratuitos validados por MEDUCA. La selección de recursos debe estar orientada por el criterio pedagógico de su efectividad para los objetivos específicos de recuperación, garantizando la equidad de acceso para todos los estudiantes independientemente de su nivel de conectividad domiciliar.</w:t>
      </w:r>
    </w:p>
    <w:p>
      <w:pPr>
        <w:spacing w:before="60" w:after="80" w:line="360" w:lineRule="auto"/>
        <w:jc w:val="both"/>
      </w:pPr>
      <w:r>
        <w:rPr>
          <w:rFonts w:ascii="Calibri" w:hAnsi="Calibri"/>
          <w:b w:val="0"/>
          <w:i w:val="0"/>
          <w:sz w:val="21"/>
        </w:rPr>
        <w:t>La evaluación diferenciada y la retroalimentación en el contexto de la recuperación de pme-8: proyecto integrador — plan de recuperación específico en el nivel de Premedia deben aplicar los principios de la evaluación para el aprendizaje (Black &amp; Wiliam, 2018): proporcionar retroalimentación específica sobre el proceso —no solo sobre el producto—, orientada siempre hacia el progreso posible, comunicada en un lenguaje accesible para el estudiante y adaptada a las características del desarrollo lingüístico y cognitivo propias de la etapa educativa de Premedia.</w:t>
      </w:r>
    </w:p>
    <w:p>
      <w:pPr>
        <w:spacing w:before="60" w:after="80" w:line="360" w:lineRule="auto"/>
        <w:jc w:val="both"/>
      </w:pPr>
      <w:r>
        <w:rPr>
          <w:rFonts w:ascii="Calibri" w:hAnsi="Calibri"/>
          <w:b w:val="0"/>
          <w:i w:val="0"/>
          <w:sz w:val="21"/>
        </w:rPr>
        <w:t>La articulación familia-escuela-comunidad en el contexto de la recuperación de pme-8: proyecto integrador — plan de recuperación específico en el nivel de Premedia es un factor multiplicador del impacto de las intervenciones pedagógicas. El metaanálisis de Fan y Chen (2001) identificó un efecto promedio de la participación familiar de 0.50 desviaciones estándar sobre el rendimiento escolar —equivalente a más de medio año de aprendizaje adicional. El docente debe diseñar estrategias específicas de comunicación y colaboración familiar que sean accesibles para las familias de sus estudiantes en el contexto sociocultural panameño.</w:t>
      </w:r>
    </w:p>
    <w:p>
      <w:pPr>
        <w:spacing w:before="60" w:after="80" w:line="360" w:lineRule="auto"/>
        <w:jc w:val="both"/>
      </w:pPr>
      <w:r>
        <w:rPr>
          <w:rFonts w:ascii="Calibri" w:hAnsi="Calibri"/>
          <w:b w:val="0"/>
          <w:i w:val="0"/>
          <w:sz w:val="21"/>
        </w:rPr>
        <w:t>La inclusión educativa como principio transversal de la recuperación de pme-8: proyecto integrador — plan de recuperación específico en el nivel de Premedia exige que las intervenciones estén diseñadas desde el inicio para atender la diversidad del aula. La Ley 15 de 2016 de Panamá establece el derecho de todos los estudiantes —incluyendo los que tienen necesidades educativas especiales, los hablantes de lenguas indígenas y los que viven en condiciones de vulnerabilidad socioeconómica— a participar plenamente en los programas de recuperación con los ajustes razonables necesarios.</w:t>
      </w:r>
    </w:p>
    <w:p>
      <w:pPr>
        <w:spacing w:before="60" w:after="80" w:line="360" w:lineRule="auto"/>
        <w:jc w:val="both"/>
      </w:pPr>
      <w:r>
        <w:rPr>
          <w:rFonts w:ascii="Calibri" w:hAnsi="Calibri"/>
          <w:b w:val="0"/>
          <w:i w:val="0"/>
          <w:sz w:val="21"/>
        </w:rPr>
        <w:t>La investigación-acción como metodología de mejora continua aplicada a la recuperación de pme-8: proyecto integrador — plan de recuperación específico en el nivel de Premedia permite al docente convertir cada ciclo de intervención en una oportunidad de aprendizaje profesional sistemático (Kemmis &amp; McTaggart, 1988). El ciclo de planificación, acción, observación y reflexión aplicado a esta dimensión específica produce conocimiento pedagógico local de enorme valor sobre qué estrategias funcionan con qué tipos de estudiantes en el contexto del sistema educativo panameño.</w:t>
      </w:r>
    </w:p>
    <w:p>
      <w:pPr>
        <w:spacing w:before="60" w:after="80" w:line="360" w:lineRule="auto"/>
        <w:jc w:val="both"/>
      </w:pPr>
      <w:r>
        <w:rPr>
          <w:rFonts w:ascii="Calibri" w:hAnsi="Calibri"/>
          <w:b w:val="0"/>
          <w:i w:val="0"/>
          <w:sz w:val="21"/>
        </w:rPr>
        <w:t>El proyecto integrador de esta unidad —parte del PME del módulo correspondiente— es el producto de aprendizaje que demuestra la capacidad del participante de transferir los contenidos conceptuales y metodológicos de pme-8: proyecto integrador — plan de recuperación específico en el nivel de Premedia a un plan de recuperación concreto, diseñado para su propio grupo de estudiantes. Este carácter situado y aplicado del proyecto integrador garantiza que el aprendizaje del Diplomado sea directamente útil para la práctica pedagógica del participante, con impacto medible sobre los aprendizajes de los estudiantes que acompaña cotidianamente.</w:t>
      </w:r>
    </w:p>
    <w:p/>
    <w:p>
      <w:r>
        <w:br w:type="page"/>
      </w:r>
    </w:p>
    <w:p>
      <w:pPr>
        <w:keepNext/>
        <w:spacing w:before="280" w:after="160"/>
        <w:jc w:val="left"/>
      </w:pPr>
      <w:r>
        <w:rPr>
          <w:rFonts w:ascii="Calibri" w:hAnsi="Calibri"/>
          <w:b/>
          <w:color w:val="8B6914"/>
          <w:sz w:val="36"/>
        </w:rPr>
        <w:t>V. FUENTES GENERALES DEL DIPLOMADO</w:t>
      </w:r>
    </w:p>
    <w:p>
      <w:pPr>
        <w:pBdr>
          <w:bottom w:val="single" w:sz="6" w:space="1" w:color="8B6914"/>
        </w:pBdr>
        <w:spacing w:before="40" w:after="40"/>
      </w:pPr>
    </w:p>
    <w:p>
      <w:pPr>
        <w:spacing w:before="40" w:after="40" w:line="360" w:lineRule="auto"/>
        <w:ind w:left="283"/>
        <w:jc w:val="both"/>
      </w:pPr>
      <w:r>
        <w:rPr>
          <w:rFonts w:ascii="Calibri" w:hAnsi="Calibri"/>
          <w:b w:val="0"/>
          <w:i w:val="0"/>
          <w:sz w:val="20"/>
        </w:rPr>
        <w:t>1. MEDUCA (2022). Situación Educativa de Panamá 2021-2022. Ciudad de Panamá: Ministerio de Educación.</w:t>
      </w:r>
    </w:p>
    <w:p>
      <w:pPr>
        <w:spacing w:before="40" w:after="40" w:line="360" w:lineRule="auto"/>
        <w:ind w:left="283"/>
        <w:jc w:val="both"/>
      </w:pPr>
      <w:r>
        <w:rPr>
          <w:rFonts w:ascii="Calibri" w:hAnsi="Calibri"/>
          <w:b w:val="0"/>
          <w:i w:val="0"/>
          <w:sz w:val="20"/>
        </w:rPr>
        <w:t>2. UNESCO-OREALC (2021). Estudio Regional Comparativo y Explicativo ERCE 2019. Santiago: UNESCO.</w:t>
      </w:r>
    </w:p>
    <w:p>
      <w:pPr>
        <w:spacing w:before="40" w:after="40" w:line="360" w:lineRule="auto"/>
        <w:ind w:left="283"/>
        <w:jc w:val="both"/>
      </w:pPr>
      <w:r>
        <w:rPr>
          <w:rFonts w:ascii="Calibri" w:hAnsi="Calibri"/>
          <w:b w:val="0"/>
          <w:i w:val="0"/>
          <w:sz w:val="20"/>
        </w:rPr>
        <w:t>3. UNICEF Panamá (2023). Impacto Psicosocial de la Pandemia en la Niñez Panameña. Ciudad de Panamá.</w:t>
      </w:r>
    </w:p>
    <w:p>
      <w:pPr>
        <w:spacing w:before="40" w:after="40" w:line="360" w:lineRule="auto"/>
        <w:ind w:left="283"/>
        <w:jc w:val="both"/>
      </w:pPr>
      <w:r>
        <w:rPr>
          <w:rFonts w:ascii="Calibri" w:hAnsi="Calibri"/>
          <w:b w:val="0"/>
          <w:i w:val="0"/>
          <w:sz w:val="20"/>
        </w:rPr>
        <w:t>4. SENACYT (2021). Brecha Digital en la Educación Panameña. Ciudad de Panamá.</w:t>
      </w:r>
    </w:p>
    <w:p>
      <w:pPr>
        <w:spacing w:before="40" w:after="40" w:line="360" w:lineRule="auto"/>
        <w:ind w:left="283"/>
        <w:jc w:val="both"/>
      </w:pPr>
      <w:r>
        <w:rPr>
          <w:rFonts w:ascii="Calibri" w:hAnsi="Calibri"/>
          <w:b w:val="0"/>
          <w:i w:val="0"/>
          <w:sz w:val="20"/>
        </w:rPr>
        <w:t>5. BID / CEPAL (2022). Plan Estratégico de Educación de Panamá 2022-2026. Washington D.C.</w:t>
      </w:r>
    </w:p>
    <w:p>
      <w:pPr>
        <w:spacing w:before="40" w:after="40" w:line="360" w:lineRule="auto"/>
        <w:ind w:left="283"/>
        <w:jc w:val="both"/>
      </w:pPr>
      <w:r>
        <w:rPr>
          <w:rFonts w:ascii="Calibri" w:hAnsi="Calibri"/>
          <w:b w:val="0"/>
          <w:i w:val="0"/>
          <w:sz w:val="20"/>
        </w:rPr>
        <w:t>6. Contraloría General de la República (2023). Informe Nacional de Auditoría Educativa 2023.</w:t>
      </w:r>
    </w:p>
    <w:p>
      <w:pPr>
        <w:spacing w:before="40" w:after="40" w:line="360" w:lineRule="auto"/>
        <w:ind w:left="283"/>
        <w:jc w:val="both"/>
      </w:pPr>
      <w:r>
        <w:rPr>
          <w:rFonts w:ascii="Calibri" w:hAnsi="Calibri"/>
          <w:b w:val="0"/>
          <w:i w:val="0"/>
          <w:sz w:val="20"/>
        </w:rPr>
        <w:t>7. MEDUCA / SIEC (2025). Estadísticas Educativas Anuales 2024-2025. Ciudad de Panamá.</w:t>
      </w:r>
    </w:p>
    <w:p>
      <w:pPr>
        <w:spacing w:before="40" w:after="40" w:line="360" w:lineRule="auto"/>
        <w:ind w:left="283"/>
        <w:jc w:val="both"/>
      </w:pPr>
      <w:r>
        <w:rPr>
          <w:rFonts w:ascii="Calibri" w:hAnsi="Calibri"/>
          <w:b w:val="0"/>
          <w:i w:val="0"/>
          <w:sz w:val="20"/>
        </w:rPr>
        <w:t>8. Banco Mundial (2022). The State of the Global Education Crisis. Washington D.C.</w:t>
      </w:r>
    </w:p>
    <w:p>
      <w:pPr>
        <w:spacing w:before="40" w:after="40" w:line="360" w:lineRule="auto"/>
        <w:ind w:left="283"/>
        <w:jc w:val="both"/>
      </w:pPr>
      <w:r>
        <w:rPr>
          <w:rFonts w:ascii="Calibri" w:hAnsi="Calibri"/>
          <w:b w:val="0"/>
          <w:i w:val="0"/>
          <w:sz w:val="20"/>
        </w:rPr>
        <w:t>9. UNESCO (2022). Education: From school closure to recovery. Paris: UNESCO Publishing.</w:t>
      </w:r>
    </w:p>
    <w:p>
      <w:pPr>
        <w:spacing w:before="40" w:after="40" w:line="360" w:lineRule="auto"/>
        <w:ind w:left="283"/>
        <w:jc w:val="both"/>
      </w:pPr>
      <w:r>
        <w:rPr>
          <w:rFonts w:ascii="Calibri" w:hAnsi="Calibri"/>
          <w:b w:val="0"/>
          <w:i w:val="0"/>
          <w:sz w:val="20"/>
        </w:rPr>
        <w:t>10. Hattie, J. (2023). Visible Learning: The Sequel. London: Routledge.</w:t>
      </w:r>
    </w:p>
    <w:p>
      <w:pPr>
        <w:spacing w:before="40" w:after="40" w:line="360" w:lineRule="auto"/>
        <w:ind w:left="283"/>
        <w:jc w:val="both"/>
      </w:pPr>
      <w:r>
        <w:rPr>
          <w:rFonts w:ascii="Calibri" w:hAnsi="Calibri"/>
          <w:b w:val="0"/>
          <w:i w:val="0"/>
          <w:sz w:val="20"/>
        </w:rPr>
        <w:t>11. Vygotsky, L. S. (1978). Mind in Society. Cambridge: Harvard University Press.</w:t>
      </w:r>
    </w:p>
    <w:p>
      <w:pPr>
        <w:spacing w:before="40" w:after="40" w:line="360" w:lineRule="auto"/>
        <w:ind w:left="283"/>
        <w:jc w:val="both"/>
      </w:pPr>
      <w:r>
        <w:rPr>
          <w:rFonts w:ascii="Calibri" w:hAnsi="Calibri"/>
          <w:b w:val="0"/>
          <w:i w:val="0"/>
          <w:sz w:val="20"/>
        </w:rPr>
        <w:t>12. Anderson, L. W. &amp; Krathwohl, D. R. (2001). A Taxonomy for Learning, Teaching, and Assessing. New York: Longman.</w:t>
      </w:r>
    </w:p>
    <w:p>
      <w:pPr>
        <w:spacing w:before="40" w:after="40" w:line="360" w:lineRule="auto"/>
        <w:ind w:left="283"/>
        <w:jc w:val="both"/>
      </w:pPr>
      <w:r>
        <w:rPr>
          <w:rFonts w:ascii="Calibri" w:hAnsi="Calibri"/>
          <w:b w:val="0"/>
          <w:i w:val="0"/>
          <w:sz w:val="20"/>
        </w:rPr>
        <w:t>13. CAST (2018). Universal Design for Learning Guidelines version 2.2. Wakefield, MA.</w:t>
      </w:r>
    </w:p>
    <w:p>
      <w:pPr>
        <w:spacing w:before="40" w:after="40" w:line="360" w:lineRule="auto"/>
        <w:ind w:left="283"/>
        <w:jc w:val="both"/>
      </w:pPr>
      <w:r>
        <w:rPr>
          <w:rFonts w:ascii="Calibri" w:hAnsi="Calibri"/>
          <w:b w:val="0"/>
          <w:i w:val="0"/>
          <w:sz w:val="20"/>
        </w:rPr>
        <w:t>14. Black, P. &amp; Wiliam, D. (2018). Classroom Assessment and the Kyoto Protocol. European Journal of Education.</w:t>
      </w:r>
    </w:p>
    <w:p>
      <w:pPr>
        <w:spacing w:before="40" w:after="40" w:line="360" w:lineRule="auto"/>
        <w:ind w:left="283"/>
        <w:jc w:val="both"/>
      </w:pPr>
      <w:r>
        <w:rPr>
          <w:rFonts w:ascii="Calibri" w:hAnsi="Calibri"/>
          <w:b w:val="0"/>
          <w:i w:val="0"/>
          <w:sz w:val="20"/>
        </w:rPr>
        <w:t>15. Save the Children / Banco Mundial (2021). Accelerating Student Learning Recovery. Washington D.C.</w:t>
      </w:r>
    </w:p>
    <w:p>
      <w:pPr>
        <w:spacing w:before="40" w:after="40" w:line="360" w:lineRule="auto"/>
        <w:ind w:left="283"/>
        <w:jc w:val="both"/>
      </w:pPr>
      <w:r>
        <w:rPr>
          <w:rFonts w:ascii="Calibri" w:hAnsi="Calibri"/>
          <w:b w:val="0"/>
          <w:i w:val="0"/>
          <w:sz w:val="20"/>
        </w:rPr>
        <w:t>16. Education Endowment Foundation (2023). Teaching and Learning Toolkit. London: EEF.</w:t>
      </w:r>
    </w:p>
    <w:p>
      <w:pPr>
        <w:spacing w:before="40" w:after="40" w:line="360" w:lineRule="auto"/>
        <w:ind w:left="283"/>
        <w:jc w:val="both"/>
      </w:pPr>
      <w:r>
        <w:rPr>
          <w:rFonts w:ascii="Calibri" w:hAnsi="Calibri"/>
          <w:b w:val="0"/>
          <w:i w:val="0"/>
          <w:sz w:val="20"/>
        </w:rPr>
        <w:t>17. Tomlinson, C.A. (2017). How to Differentiate Instruction in Academically Diverse Classrooms. ASCD.</w:t>
      </w:r>
    </w:p>
    <w:p>
      <w:pPr>
        <w:spacing w:before="40" w:after="40" w:line="360" w:lineRule="auto"/>
        <w:ind w:left="283"/>
        <w:jc w:val="both"/>
      </w:pPr>
      <w:r>
        <w:rPr>
          <w:rFonts w:ascii="Calibri" w:hAnsi="Calibri"/>
          <w:b w:val="0"/>
          <w:i w:val="0"/>
          <w:sz w:val="20"/>
        </w:rPr>
        <w:t>18. Dweck, C. (2006). Mindset: The New Psychology of Success. New York: Random House.</w:t>
      </w:r>
    </w:p>
    <w:p>
      <w:pPr>
        <w:spacing w:before="40" w:after="40" w:line="360" w:lineRule="auto"/>
        <w:ind w:left="283"/>
        <w:jc w:val="both"/>
      </w:pPr>
      <w:r>
        <w:rPr>
          <w:rFonts w:ascii="Calibri" w:hAnsi="Calibri"/>
          <w:b w:val="0"/>
          <w:i w:val="0"/>
          <w:sz w:val="20"/>
        </w:rPr>
        <w:t>19. Fullan, M. (2021). The Right Drivers for Whole System Success. East Melbourne: CSE.</w:t>
      </w:r>
    </w:p>
    <w:p>
      <w:pPr>
        <w:spacing w:before="40" w:after="40" w:line="360" w:lineRule="auto"/>
        <w:ind w:left="283"/>
        <w:jc w:val="both"/>
      </w:pPr>
      <w:r>
        <w:rPr>
          <w:rFonts w:ascii="Calibri" w:hAnsi="Calibri"/>
          <w:b w:val="0"/>
          <w:i w:val="0"/>
          <w:sz w:val="20"/>
        </w:rPr>
        <w:t>20. CEPAL / UNESCO (2020). La educación en tiempos de pandemia de COVID-19. Santiago.</w:t>
      </w:r>
    </w:p>
    <w:p/>
    <w:p>
      <w:pPr>
        <w:spacing w:before="60" w:after="80" w:line="360" w:lineRule="auto"/>
        <w:jc w:val="center"/>
      </w:pPr>
      <w:r>
        <w:rPr>
          <w:rFonts w:ascii="Calibri" w:hAnsi="Calibri"/>
          <w:b w:val="0"/>
          <w:i/>
          <w:color w:val="5A6370"/>
          <w:sz w:val="18"/>
        </w:rPr>
        <w:t>Ficha Técnica elaborada por CERPA — Centro de Estudios Regionales de Panamá. Diplomado en Recuperación de Aprendizajes y Competencias Fundamentales en Premedia. Rector: Manuel Amador Salvatierra Tello. Año académico 2025-2026. web.cerpa.edu.pa  ·  349-5420  ·  775-0951.</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